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C8C6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center"/>
        <w:rPr>
          <w:color w:val="333333"/>
        </w:rPr>
      </w:pPr>
      <w:r>
        <w:rPr>
          <w:color w:val="333333"/>
        </w:rPr>
        <w:t>台州学院2025年退役大学生士兵免试专升本招生简章</w:t>
      </w:r>
    </w:p>
    <w:p w14:paraId="29776DA0">
      <w:pPr>
        <w:keepNext w:val="0"/>
        <w:keepLines w:val="0"/>
        <w:widowControl/>
        <w:suppressLineNumbers w:val="0"/>
        <w:shd w:val="clear" w:fill="FFFFFF"/>
        <w:jc w:val="center"/>
        <w:rPr>
          <w:color w:val="888888"/>
        </w:rPr>
      </w:pPr>
      <w:r>
        <w:rPr>
          <w:rFonts w:ascii="宋体" w:hAnsi="宋体" w:eastAsia="宋体" w:cs="宋体"/>
          <w:color w:val="888888"/>
          <w:kern w:val="0"/>
          <w:sz w:val="24"/>
          <w:szCs w:val="24"/>
          <w:shd w:val="clear" w:fill="FFFFFF"/>
          <w:lang w:val="en-US" w:eastAsia="zh-CN" w:bidi="ar"/>
        </w:rPr>
        <w:t>发布时间：2025年03月08日 11:08</w:t>
      </w:r>
      <w:r>
        <w:rPr>
          <w:rFonts w:ascii="宋体" w:hAnsi="宋体" w:eastAsia="宋体" w:cs="宋体"/>
          <w:color w:val="888888"/>
          <w:kern w:val="0"/>
          <w:sz w:val="24"/>
          <w:szCs w:val="24"/>
          <w:shd w:val="clear" w:fill="FFFFFF"/>
          <w:lang w:val="en-US" w:eastAsia="zh-CN" w:bidi="ar"/>
        </w:rPr>
        <w:t> </w:t>
      </w:r>
      <w:r>
        <w:rPr>
          <w:rFonts w:ascii="宋体" w:hAnsi="宋体" w:eastAsia="宋体" w:cs="宋体"/>
          <w:color w:val="888888"/>
          <w:kern w:val="0"/>
          <w:sz w:val="24"/>
          <w:szCs w:val="24"/>
          <w:shd w:val="clear" w:fill="FFFFFF"/>
          <w:lang w:val="en-US" w:eastAsia="zh-CN" w:bidi="ar"/>
        </w:rPr>
        <w:t>点击数量：787</w:t>
      </w:r>
    </w:p>
    <w:p w14:paraId="467DF74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0" w:lineRule="atLeast"/>
        <w:ind w:left="0" w:right="0" w:firstLine="420"/>
        <w:jc w:val="center"/>
        <w:rPr>
          <w:rFonts w:ascii="PingFang400" w:hAnsi="PingFang400" w:eastAsia="PingFang400" w:cs="PingFang400"/>
        </w:rPr>
      </w:pPr>
      <w:r>
        <w:rPr>
          <w:rStyle w:val="6"/>
          <w:rFonts w:hint="default" w:ascii="PingFang400" w:hAnsi="PingFang400" w:eastAsia="PingFang400" w:cs="PingFang400"/>
          <w:color w:val="333333"/>
          <w:sz w:val="21"/>
          <w:szCs w:val="21"/>
          <w:shd w:val="clear" w:fill="FFFFFF"/>
        </w:rPr>
        <w:t>第一章</w:t>
      </w:r>
      <w:r>
        <w:rPr>
          <w:rStyle w:val="6"/>
          <w:rFonts w:hint="default" w:ascii="PingFang400" w:hAnsi="PingFang400" w:eastAsia="PingFang400" w:cs="PingFang400"/>
          <w:color w:val="333333"/>
          <w:shd w:val="clear" w:fill="FFFFFF"/>
        </w:rPr>
        <w:t> </w:t>
      </w:r>
      <w:r>
        <w:rPr>
          <w:rStyle w:val="6"/>
          <w:rFonts w:hint="default" w:ascii="PingFang400" w:hAnsi="PingFang400" w:eastAsia="PingFang400" w:cs="PingFang400"/>
          <w:color w:val="333333"/>
          <w:sz w:val="21"/>
          <w:szCs w:val="21"/>
          <w:shd w:val="clear" w:fill="FFFFFF"/>
        </w:rPr>
        <w:t>总 则</w:t>
      </w:r>
    </w:p>
    <w:p w14:paraId="6437403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0" w:lineRule="atLeast"/>
        <w:ind w:left="0" w:right="0" w:firstLine="420"/>
        <w:jc w:val="both"/>
        <w:rPr>
          <w:rFonts w:hint="default" w:ascii="PingFang400" w:hAnsi="PingFang400" w:eastAsia="PingFang400" w:cs="PingFang400"/>
        </w:rPr>
      </w:pPr>
      <w:r>
        <w:rPr>
          <w:rStyle w:val="6"/>
          <w:rFonts w:hint="default" w:ascii="PingFang400" w:hAnsi="PingFang400" w:eastAsia="PingFang400" w:cs="PingFang400"/>
          <w:color w:val="333333"/>
          <w:sz w:val="21"/>
          <w:szCs w:val="21"/>
          <w:shd w:val="clear" w:fill="FFFFFF"/>
        </w:rPr>
        <w:t>第一条</w:t>
      </w:r>
      <w:r>
        <w:rPr>
          <w:rFonts w:hint="default" w:ascii="PingFang400" w:hAnsi="PingFang400" w:eastAsia="PingFang400" w:cs="PingFang400"/>
          <w:color w:val="333333"/>
          <w:shd w:val="clear" w:fill="FFFFFF"/>
        </w:rPr>
        <w:t> </w:t>
      </w:r>
      <w:r>
        <w:rPr>
          <w:rFonts w:hint="default" w:ascii="PingFang400" w:hAnsi="PingFang400" w:eastAsia="PingFang400" w:cs="PingFang400"/>
          <w:color w:val="333333"/>
          <w:sz w:val="21"/>
          <w:szCs w:val="21"/>
          <w:shd w:val="clear" w:fill="FFFFFF"/>
        </w:rPr>
        <w:t>根据浙江省教育厅办公室、浙江省退役军人事务厅办公室关于印发《浙江省2025年退役大学生士兵免试专升本招生工作实施办法》的通知（浙教办考〔2025〕1号）精神，结合台州学院招生工作实际，特制定本简章。</w:t>
      </w:r>
    </w:p>
    <w:p w14:paraId="02C3B36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0" w:lineRule="atLeast"/>
        <w:ind w:left="0" w:right="0" w:firstLine="430"/>
        <w:jc w:val="both"/>
        <w:rPr>
          <w:rFonts w:hint="default" w:ascii="PingFang400" w:hAnsi="PingFang400" w:eastAsia="PingFang400" w:cs="PingFang400"/>
        </w:rPr>
      </w:pPr>
      <w:r>
        <w:rPr>
          <w:rStyle w:val="6"/>
          <w:rFonts w:hint="default" w:ascii="PingFang400" w:hAnsi="PingFang400" w:eastAsia="PingFang400" w:cs="PingFang400"/>
          <w:color w:val="333333"/>
          <w:sz w:val="21"/>
          <w:szCs w:val="21"/>
          <w:shd w:val="clear" w:fill="FFFFFF"/>
        </w:rPr>
        <w:t>第二条</w:t>
      </w:r>
      <w:r>
        <w:rPr>
          <w:rFonts w:hint="default" w:ascii="PingFang400" w:hAnsi="PingFang400" w:eastAsia="PingFang400" w:cs="PingFang400"/>
          <w:color w:val="333333"/>
          <w:sz w:val="21"/>
          <w:szCs w:val="21"/>
          <w:shd w:val="clear" w:fill="FFFFFF"/>
        </w:rPr>
        <w:t> 本简章适用于台州学院2025年退役大学生士兵免试专升本招生工作（以下简称“免试专升本”）。</w:t>
      </w:r>
    </w:p>
    <w:p w14:paraId="48377EA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0" w:lineRule="atLeast"/>
        <w:ind w:left="0" w:right="0" w:firstLine="430"/>
        <w:jc w:val="both"/>
        <w:rPr>
          <w:rFonts w:hint="default" w:ascii="PingFang400" w:hAnsi="PingFang400" w:eastAsia="PingFang400" w:cs="PingFang400"/>
        </w:rPr>
      </w:pPr>
      <w:r>
        <w:rPr>
          <w:rStyle w:val="6"/>
          <w:rFonts w:hint="default" w:ascii="PingFang400" w:hAnsi="PingFang400" w:eastAsia="PingFang400" w:cs="PingFang400"/>
          <w:color w:val="333333"/>
          <w:sz w:val="21"/>
          <w:szCs w:val="21"/>
          <w:shd w:val="clear" w:fill="FFFFFF"/>
        </w:rPr>
        <w:t>第三条 </w:t>
      </w:r>
      <w:r>
        <w:rPr>
          <w:rFonts w:hint="default" w:ascii="PingFang400" w:hAnsi="PingFang400" w:eastAsia="PingFang400" w:cs="PingFang400"/>
          <w:color w:val="333333"/>
          <w:sz w:val="21"/>
          <w:szCs w:val="21"/>
          <w:shd w:val="clear" w:fill="FFFFFF"/>
        </w:rPr>
        <w:t>学校招生工作严格执行教育部和省级招生主管部门的有关政策和规定，贯彻公平竞争、公正选拔、公开透明的原则，德智体美劳全面考核、综合评价、择优录取。</w:t>
      </w:r>
    </w:p>
    <w:p w14:paraId="23215FE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0" w:lineRule="atLeast"/>
        <w:ind w:left="0" w:right="0" w:firstLine="430"/>
        <w:jc w:val="both"/>
        <w:rPr>
          <w:rFonts w:hint="default" w:ascii="PingFang400" w:hAnsi="PingFang400" w:eastAsia="PingFang400" w:cs="PingFang400"/>
        </w:rPr>
      </w:pPr>
      <w:r>
        <w:rPr>
          <w:rStyle w:val="6"/>
          <w:rFonts w:hint="default" w:ascii="PingFang400" w:hAnsi="PingFang400" w:eastAsia="PingFang400" w:cs="PingFang400"/>
          <w:color w:val="333333"/>
          <w:sz w:val="21"/>
          <w:szCs w:val="21"/>
          <w:shd w:val="clear" w:fill="FFFFFF"/>
        </w:rPr>
        <w:t>第四条 </w:t>
      </w:r>
      <w:r>
        <w:rPr>
          <w:rFonts w:hint="default" w:ascii="PingFang400" w:hAnsi="PingFang400" w:eastAsia="PingFang400" w:cs="PingFang400"/>
          <w:color w:val="333333"/>
          <w:sz w:val="21"/>
          <w:szCs w:val="21"/>
          <w:shd w:val="clear" w:fill="FFFFFF"/>
        </w:rPr>
        <w:t>学校招生实施“阳光工程”，接受广大考生、家长和社会各方面的监督。</w:t>
      </w:r>
    </w:p>
    <w:p w14:paraId="6FA104C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0" w:lineRule="atLeast"/>
        <w:ind w:left="0" w:right="0" w:firstLine="430"/>
        <w:jc w:val="both"/>
        <w:rPr>
          <w:rFonts w:hint="default" w:ascii="PingFang400" w:hAnsi="PingFang400" w:eastAsia="PingFang400" w:cs="PingFang400"/>
        </w:rPr>
      </w:pPr>
    </w:p>
    <w:p w14:paraId="10ADA9B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0" w:lineRule="atLeast"/>
        <w:ind w:left="0" w:right="0" w:firstLine="420"/>
        <w:jc w:val="center"/>
        <w:rPr>
          <w:rFonts w:hint="default" w:ascii="PingFang400" w:hAnsi="PingFang400" w:eastAsia="PingFang400" w:cs="PingFang400"/>
        </w:rPr>
      </w:pPr>
      <w:r>
        <w:rPr>
          <w:rStyle w:val="6"/>
          <w:rFonts w:hint="default" w:ascii="PingFang400" w:hAnsi="PingFang400" w:eastAsia="PingFang400" w:cs="PingFang400"/>
          <w:color w:val="333333"/>
          <w:sz w:val="21"/>
          <w:szCs w:val="21"/>
          <w:shd w:val="clear" w:fill="FFFFFF"/>
        </w:rPr>
        <w:t>第二章</w:t>
      </w:r>
      <w:r>
        <w:rPr>
          <w:rStyle w:val="6"/>
          <w:rFonts w:hint="default" w:ascii="PingFang400" w:hAnsi="PingFang400" w:eastAsia="PingFang400" w:cs="PingFang400"/>
          <w:color w:val="333333"/>
          <w:shd w:val="clear" w:fill="FFFFFF"/>
        </w:rPr>
        <w:t> </w:t>
      </w:r>
      <w:r>
        <w:rPr>
          <w:rStyle w:val="6"/>
          <w:rFonts w:hint="default" w:ascii="PingFang400" w:hAnsi="PingFang400" w:eastAsia="PingFang400" w:cs="PingFang400"/>
          <w:color w:val="333333"/>
          <w:sz w:val="21"/>
          <w:szCs w:val="21"/>
          <w:shd w:val="clear" w:fill="FFFFFF"/>
        </w:rPr>
        <w:t>学校概况</w:t>
      </w:r>
    </w:p>
    <w:p w14:paraId="49E3D57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60" w:afterAutospacing="0" w:line="390" w:lineRule="atLeast"/>
        <w:ind w:left="0" w:right="0" w:firstLine="430"/>
        <w:jc w:val="both"/>
        <w:rPr>
          <w:rFonts w:hint="default" w:ascii="PingFang400" w:hAnsi="PingFang400" w:eastAsia="PingFang400" w:cs="PingFang400"/>
        </w:rPr>
      </w:pPr>
      <w:r>
        <w:rPr>
          <w:rStyle w:val="6"/>
          <w:rFonts w:hint="default" w:ascii="PingFang400" w:hAnsi="PingFang400" w:eastAsia="PingFang400" w:cs="PingFang400"/>
          <w:color w:val="333333"/>
          <w:sz w:val="21"/>
          <w:szCs w:val="21"/>
          <w:shd w:val="clear" w:fill="FFFFFF"/>
        </w:rPr>
        <w:t>第五条 </w:t>
      </w:r>
      <w:r>
        <w:rPr>
          <w:rFonts w:hint="default" w:ascii="PingFang400" w:hAnsi="PingFang400" w:eastAsia="PingFang400" w:cs="PingFang400"/>
          <w:color w:val="333333"/>
          <w:sz w:val="21"/>
          <w:szCs w:val="21"/>
          <w:shd w:val="clear" w:fill="FFFFFF"/>
        </w:rPr>
        <w:t>学校全称：台州学院。</w:t>
      </w:r>
    </w:p>
    <w:p w14:paraId="6818E2E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60" w:afterAutospacing="0" w:line="390" w:lineRule="atLeast"/>
        <w:ind w:left="0" w:right="0" w:firstLine="430"/>
        <w:jc w:val="both"/>
        <w:rPr>
          <w:rFonts w:hint="default" w:ascii="PingFang400" w:hAnsi="PingFang400" w:eastAsia="PingFang400" w:cs="PingFang400"/>
        </w:rPr>
      </w:pPr>
      <w:r>
        <w:rPr>
          <w:rStyle w:val="6"/>
          <w:rFonts w:hint="default" w:ascii="PingFang400" w:hAnsi="PingFang400" w:eastAsia="PingFang400" w:cs="PingFang400"/>
          <w:color w:val="333333"/>
          <w:sz w:val="21"/>
          <w:szCs w:val="21"/>
          <w:shd w:val="clear" w:fill="FFFFFF"/>
        </w:rPr>
        <w:t>第六条 </w:t>
      </w:r>
      <w:r>
        <w:rPr>
          <w:rFonts w:hint="default" w:ascii="PingFang400" w:hAnsi="PingFang400" w:eastAsia="PingFang400" w:cs="PingFang400"/>
          <w:color w:val="333333"/>
          <w:sz w:val="21"/>
          <w:szCs w:val="21"/>
          <w:shd w:val="clear" w:fill="FFFFFF"/>
        </w:rPr>
        <w:t>学校国标代码：10350。</w:t>
      </w:r>
    </w:p>
    <w:p w14:paraId="48E24A9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60" w:afterAutospacing="0" w:line="390" w:lineRule="atLeast"/>
        <w:ind w:left="0" w:right="0" w:firstLine="430"/>
        <w:jc w:val="both"/>
        <w:rPr>
          <w:rFonts w:hint="default" w:ascii="PingFang400" w:hAnsi="PingFang400" w:eastAsia="PingFang400" w:cs="PingFang400"/>
        </w:rPr>
      </w:pPr>
      <w:r>
        <w:rPr>
          <w:rStyle w:val="6"/>
          <w:rFonts w:hint="default" w:ascii="PingFang400" w:hAnsi="PingFang400" w:eastAsia="PingFang400" w:cs="PingFang400"/>
          <w:color w:val="333333"/>
          <w:sz w:val="21"/>
          <w:szCs w:val="21"/>
          <w:shd w:val="clear" w:fill="FFFFFF"/>
        </w:rPr>
        <w:t>第七条 </w:t>
      </w:r>
      <w:r>
        <w:rPr>
          <w:rFonts w:hint="default" w:ascii="PingFang400" w:hAnsi="PingFang400" w:eastAsia="PingFang400" w:cs="PingFang400"/>
          <w:color w:val="333333"/>
          <w:sz w:val="21"/>
          <w:szCs w:val="21"/>
          <w:shd w:val="clear" w:fill="FFFFFF"/>
        </w:rPr>
        <w:t>办学层次和类型：本科，全日制公办普通高等学校。</w:t>
      </w:r>
    </w:p>
    <w:p w14:paraId="4A10E5A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60" w:afterAutospacing="0" w:line="390" w:lineRule="atLeast"/>
        <w:ind w:left="0" w:right="0" w:firstLine="430"/>
        <w:jc w:val="both"/>
        <w:rPr>
          <w:rFonts w:hint="default" w:ascii="PingFang400" w:hAnsi="PingFang400" w:eastAsia="PingFang400" w:cs="PingFang400"/>
        </w:rPr>
      </w:pPr>
      <w:r>
        <w:rPr>
          <w:rStyle w:val="6"/>
          <w:rFonts w:hint="default" w:ascii="PingFang400" w:hAnsi="PingFang400" w:eastAsia="PingFang400" w:cs="PingFang400"/>
          <w:color w:val="333333"/>
          <w:sz w:val="21"/>
          <w:szCs w:val="21"/>
          <w:shd w:val="clear" w:fill="FFFFFF"/>
        </w:rPr>
        <w:t>第八条</w:t>
      </w:r>
      <w:r>
        <w:rPr>
          <w:rFonts w:hint="default" w:ascii="PingFang400" w:hAnsi="PingFang400" w:eastAsia="PingFang400" w:cs="PingFang400"/>
          <w:color w:val="333333"/>
          <w:sz w:val="21"/>
          <w:szCs w:val="21"/>
          <w:shd w:val="clear" w:fill="FFFFFF"/>
        </w:rPr>
        <w:t> 颁发毕业证书及学位证书的学校名称：台州学院。</w:t>
      </w:r>
    </w:p>
    <w:p w14:paraId="054F3E9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60" w:afterAutospacing="0" w:line="390" w:lineRule="atLeast"/>
        <w:ind w:left="0" w:right="0" w:firstLine="430"/>
        <w:jc w:val="both"/>
        <w:rPr>
          <w:rFonts w:hint="default" w:ascii="PingFang400" w:hAnsi="PingFang400" w:eastAsia="PingFang400" w:cs="PingFang400"/>
        </w:rPr>
      </w:pPr>
      <w:r>
        <w:rPr>
          <w:rStyle w:val="6"/>
          <w:rFonts w:hint="default" w:ascii="PingFang400" w:hAnsi="PingFang400" w:eastAsia="PingFang400" w:cs="PingFang400"/>
          <w:color w:val="333333"/>
          <w:sz w:val="21"/>
          <w:szCs w:val="21"/>
          <w:shd w:val="clear" w:fill="FFFFFF"/>
        </w:rPr>
        <w:t>第九条</w:t>
      </w:r>
      <w:r>
        <w:rPr>
          <w:rFonts w:hint="default" w:ascii="PingFang400" w:hAnsi="PingFang400" w:eastAsia="PingFang400" w:cs="PingFang400"/>
          <w:color w:val="333333"/>
          <w:sz w:val="21"/>
          <w:szCs w:val="21"/>
          <w:shd w:val="clear" w:fill="FFFFFF"/>
        </w:rPr>
        <w:t> 办学地点：浙江省台州市市府大道1139号。学校分椒江、临海两地办学。</w:t>
      </w:r>
    </w:p>
    <w:p w14:paraId="5148E82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0" w:lineRule="atLeast"/>
        <w:ind w:left="0" w:right="0" w:firstLine="420"/>
        <w:jc w:val="center"/>
        <w:rPr>
          <w:rFonts w:hint="default" w:ascii="PingFang400" w:hAnsi="PingFang400" w:eastAsia="PingFang400" w:cs="PingFang400"/>
        </w:rPr>
      </w:pPr>
    </w:p>
    <w:p w14:paraId="552FFC7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0" w:lineRule="atLeast"/>
        <w:ind w:left="0" w:right="0" w:firstLine="420"/>
        <w:jc w:val="center"/>
        <w:rPr>
          <w:rFonts w:hint="default" w:ascii="PingFang400" w:hAnsi="PingFang400" w:eastAsia="PingFang400" w:cs="PingFang400"/>
        </w:rPr>
      </w:pPr>
      <w:r>
        <w:rPr>
          <w:rStyle w:val="6"/>
          <w:rFonts w:hint="default" w:ascii="PingFang400" w:hAnsi="PingFang400" w:eastAsia="PingFang400" w:cs="PingFang400"/>
          <w:color w:val="333333"/>
          <w:sz w:val="21"/>
          <w:szCs w:val="21"/>
          <w:shd w:val="clear" w:fill="FFFFFF"/>
        </w:rPr>
        <w:t>第三章</w:t>
      </w:r>
      <w:r>
        <w:rPr>
          <w:rStyle w:val="6"/>
          <w:rFonts w:hint="default" w:ascii="PingFang400" w:hAnsi="PingFang400" w:eastAsia="PingFang400" w:cs="PingFang400"/>
          <w:color w:val="333333"/>
          <w:shd w:val="clear" w:fill="FFFFFF"/>
        </w:rPr>
        <w:t> </w:t>
      </w:r>
      <w:r>
        <w:rPr>
          <w:rStyle w:val="6"/>
          <w:rFonts w:hint="default" w:ascii="PingFang400" w:hAnsi="PingFang400" w:eastAsia="PingFang400" w:cs="PingFang400"/>
          <w:color w:val="333333"/>
          <w:sz w:val="21"/>
          <w:szCs w:val="21"/>
          <w:shd w:val="clear" w:fill="FFFFFF"/>
        </w:rPr>
        <w:t>组织机构</w:t>
      </w:r>
    </w:p>
    <w:p w14:paraId="4C0BC85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0" w:lineRule="atLeast"/>
        <w:ind w:left="0" w:right="0" w:firstLine="430"/>
        <w:jc w:val="both"/>
        <w:rPr>
          <w:rFonts w:hint="default" w:ascii="PingFang400" w:hAnsi="PingFang400" w:eastAsia="PingFang400" w:cs="PingFang400"/>
        </w:rPr>
      </w:pPr>
      <w:r>
        <w:rPr>
          <w:rStyle w:val="6"/>
          <w:rFonts w:hint="default" w:ascii="PingFang400" w:hAnsi="PingFang400" w:eastAsia="PingFang400" w:cs="PingFang400"/>
          <w:color w:val="333333"/>
          <w:sz w:val="21"/>
          <w:szCs w:val="21"/>
          <w:shd w:val="clear" w:fill="FFFFFF"/>
        </w:rPr>
        <w:t>第十条 </w:t>
      </w:r>
      <w:r>
        <w:rPr>
          <w:rFonts w:hint="default" w:ascii="PingFang400" w:hAnsi="PingFang400" w:eastAsia="PingFang400" w:cs="PingFang400"/>
          <w:color w:val="333333"/>
          <w:sz w:val="21"/>
          <w:szCs w:val="21"/>
          <w:shd w:val="clear" w:fill="FFFFFF"/>
        </w:rPr>
        <w:t>学校本科招生工作领导小组负责免试专升本招生工作的协调、指导、监督和决策。</w:t>
      </w:r>
    </w:p>
    <w:p w14:paraId="0B8E85A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0" w:lineRule="atLeast"/>
        <w:ind w:left="0" w:right="0" w:firstLine="430"/>
        <w:jc w:val="both"/>
        <w:rPr>
          <w:rFonts w:hint="default" w:ascii="PingFang400" w:hAnsi="PingFang400" w:eastAsia="PingFang400" w:cs="PingFang400"/>
        </w:rPr>
      </w:pPr>
      <w:r>
        <w:rPr>
          <w:rStyle w:val="6"/>
          <w:rFonts w:hint="default" w:ascii="PingFang400" w:hAnsi="PingFang400" w:eastAsia="PingFang400" w:cs="PingFang400"/>
          <w:color w:val="333333"/>
          <w:sz w:val="21"/>
          <w:szCs w:val="21"/>
          <w:shd w:val="clear" w:fill="FFFFFF"/>
        </w:rPr>
        <w:t>第十一条 </w:t>
      </w:r>
      <w:r>
        <w:rPr>
          <w:rFonts w:hint="default" w:ascii="PingFang400" w:hAnsi="PingFang400" w:eastAsia="PingFang400" w:cs="PingFang400"/>
          <w:color w:val="333333"/>
          <w:sz w:val="21"/>
          <w:szCs w:val="21"/>
          <w:shd w:val="clear" w:fill="FFFFFF"/>
        </w:rPr>
        <w:t>学校教务处（招生办公室）是组织和实施招生及其相关工作的常设机构，具体负责免试专升本招生的日常工作。</w:t>
      </w:r>
    </w:p>
    <w:p w14:paraId="7289A85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0" w:lineRule="atLeast"/>
        <w:ind w:left="0" w:right="0" w:firstLine="430"/>
        <w:jc w:val="both"/>
        <w:rPr>
          <w:rFonts w:hint="default" w:ascii="PingFang400" w:hAnsi="PingFang400" w:eastAsia="PingFang400" w:cs="PingFang400"/>
        </w:rPr>
      </w:pPr>
    </w:p>
    <w:p w14:paraId="52DB910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0" w:lineRule="atLeast"/>
        <w:ind w:left="0" w:right="0" w:firstLine="420"/>
        <w:jc w:val="center"/>
        <w:rPr>
          <w:rFonts w:hint="default" w:ascii="PingFang400" w:hAnsi="PingFang400" w:eastAsia="PingFang400" w:cs="PingFang400"/>
        </w:rPr>
      </w:pPr>
      <w:r>
        <w:rPr>
          <w:rStyle w:val="6"/>
          <w:rFonts w:hint="default" w:ascii="PingFang400" w:hAnsi="PingFang400" w:eastAsia="PingFang400" w:cs="PingFang400"/>
          <w:color w:val="333333"/>
          <w:sz w:val="21"/>
          <w:szCs w:val="21"/>
          <w:shd w:val="clear" w:fill="FFFFFF"/>
        </w:rPr>
        <w:t>第四章</w:t>
      </w:r>
      <w:r>
        <w:rPr>
          <w:rStyle w:val="6"/>
          <w:rFonts w:hint="default" w:ascii="PingFang400" w:hAnsi="PingFang400" w:eastAsia="PingFang400" w:cs="PingFang400"/>
          <w:color w:val="333333"/>
          <w:shd w:val="clear" w:fill="FFFFFF"/>
        </w:rPr>
        <w:t> </w:t>
      </w:r>
      <w:r>
        <w:rPr>
          <w:rStyle w:val="6"/>
          <w:rFonts w:hint="default" w:ascii="PingFang400" w:hAnsi="PingFang400" w:eastAsia="PingFang400" w:cs="PingFang400"/>
          <w:color w:val="333333"/>
          <w:sz w:val="21"/>
          <w:szCs w:val="21"/>
          <w:shd w:val="clear" w:fill="FFFFFF"/>
        </w:rPr>
        <w:t>招生计划</w:t>
      </w:r>
    </w:p>
    <w:p w14:paraId="07B1D14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0" w:lineRule="atLeast"/>
        <w:ind w:left="0" w:right="0" w:firstLine="430"/>
        <w:jc w:val="both"/>
        <w:rPr>
          <w:rFonts w:hint="default" w:ascii="PingFang400" w:hAnsi="PingFang400" w:eastAsia="PingFang400" w:cs="PingFang400"/>
        </w:rPr>
      </w:pPr>
      <w:r>
        <w:rPr>
          <w:rStyle w:val="6"/>
          <w:rFonts w:hint="default" w:ascii="PingFang400" w:hAnsi="PingFang400" w:eastAsia="PingFang400" w:cs="PingFang400"/>
          <w:color w:val="333333"/>
          <w:sz w:val="21"/>
          <w:szCs w:val="21"/>
          <w:shd w:val="clear" w:fill="FFFFFF"/>
        </w:rPr>
        <w:t>第十二条 </w:t>
      </w:r>
      <w:r>
        <w:rPr>
          <w:rFonts w:hint="default" w:ascii="PingFang400" w:hAnsi="PingFang400" w:eastAsia="PingFang400" w:cs="PingFang400"/>
          <w:color w:val="FF0000"/>
          <w:sz w:val="21"/>
          <w:szCs w:val="21"/>
          <w:shd w:val="clear" w:fill="FFFFFF"/>
        </w:rPr>
        <w:t>学校免试专升本招生计划共计51名</w:t>
      </w:r>
      <w:r>
        <w:rPr>
          <w:rFonts w:hint="default" w:ascii="PingFang400" w:hAnsi="PingFang400" w:eastAsia="PingFang400" w:cs="PingFang400"/>
          <w:color w:val="333333"/>
          <w:sz w:val="21"/>
          <w:szCs w:val="21"/>
          <w:shd w:val="clear" w:fill="FFFFFF"/>
        </w:rPr>
        <w:t>（具体招生类别、分专业计划等信息以浙江省教育考试院公布为准），按专业对口原则实施招生。考生高职高专阶段所学专业须符合所报专业志愿的限报专业要求。</w:t>
      </w:r>
    </w:p>
    <w:p w14:paraId="716F5AA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0" w:lineRule="atLeast"/>
        <w:ind w:left="0" w:right="0" w:firstLine="420"/>
        <w:jc w:val="center"/>
        <w:rPr>
          <w:rFonts w:hint="default" w:ascii="PingFang400" w:hAnsi="PingFang400" w:eastAsia="PingFang400" w:cs="PingFang400"/>
        </w:rPr>
      </w:pPr>
      <w:r>
        <w:rPr>
          <w:rStyle w:val="6"/>
          <w:rFonts w:hint="default" w:ascii="PingFang400" w:hAnsi="PingFang400" w:eastAsia="PingFang400" w:cs="PingFang400"/>
          <w:color w:val="333333"/>
          <w:sz w:val="21"/>
          <w:szCs w:val="21"/>
          <w:shd w:val="clear" w:fill="FFFFFF"/>
        </w:rPr>
        <w:t>第五章</w:t>
      </w:r>
      <w:r>
        <w:rPr>
          <w:rStyle w:val="6"/>
          <w:rFonts w:hint="default" w:ascii="PingFang400" w:hAnsi="PingFang400" w:eastAsia="PingFang400" w:cs="PingFang400"/>
          <w:color w:val="333333"/>
          <w:shd w:val="clear" w:fill="FFFFFF"/>
        </w:rPr>
        <w:t> </w:t>
      </w:r>
      <w:r>
        <w:rPr>
          <w:rStyle w:val="6"/>
          <w:rFonts w:hint="default" w:ascii="PingFang400" w:hAnsi="PingFang400" w:eastAsia="PingFang400" w:cs="PingFang400"/>
          <w:color w:val="333333"/>
          <w:sz w:val="21"/>
          <w:szCs w:val="21"/>
          <w:shd w:val="clear" w:fill="FFFFFF"/>
        </w:rPr>
        <w:t>招生对象</w:t>
      </w:r>
    </w:p>
    <w:p w14:paraId="527AD44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0" w:lineRule="atLeast"/>
        <w:ind w:left="0" w:right="0" w:firstLine="430"/>
        <w:jc w:val="both"/>
        <w:rPr>
          <w:rFonts w:hint="default" w:ascii="PingFang400" w:hAnsi="PingFang400" w:eastAsia="PingFang400" w:cs="PingFang400"/>
        </w:rPr>
      </w:pPr>
      <w:r>
        <w:rPr>
          <w:rStyle w:val="6"/>
          <w:rFonts w:hint="default" w:ascii="PingFang400" w:hAnsi="PingFang400" w:eastAsia="PingFang400" w:cs="PingFang400"/>
          <w:color w:val="333333"/>
          <w:sz w:val="21"/>
          <w:szCs w:val="21"/>
          <w:shd w:val="clear" w:fill="FFFFFF"/>
        </w:rPr>
        <w:t>第十三条 招生对象</w:t>
      </w:r>
    </w:p>
    <w:p w14:paraId="1ACA880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0" w:lineRule="atLeast"/>
        <w:ind w:left="0" w:right="0" w:firstLine="430"/>
        <w:jc w:val="both"/>
        <w:rPr>
          <w:rFonts w:hint="default" w:ascii="PingFang400" w:hAnsi="PingFang400" w:eastAsia="PingFang400" w:cs="PingFang400"/>
        </w:rPr>
      </w:pPr>
      <w:r>
        <w:rPr>
          <w:rFonts w:hint="default" w:ascii="PingFang400" w:hAnsi="PingFang400" w:eastAsia="PingFang400" w:cs="PingFang400"/>
          <w:color w:val="333333"/>
          <w:sz w:val="21"/>
          <w:szCs w:val="21"/>
          <w:shd w:val="clear" w:fill="FFFFFF"/>
        </w:rPr>
        <w:t>符合下列条件的人员可以提出申请：</w:t>
      </w:r>
    </w:p>
    <w:p w14:paraId="4268EAB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0" w:lineRule="atLeast"/>
        <w:ind w:left="0" w:right="0" w:firstLine="430"/>
        <w:jc w:val="both"/>
        <w:rPr>
          <w:rFonts w:hint="default" w:ascii="PingFang400" w:hAnsi="PingFang400" w:eastAsia="PingFang400" w:cs="PingFang400"/>
        </w:rPr>
      </w:pPr>
      <w:r>
        <w:rPr>
          <w:rFonts w:hint="default" w:ascii="PingFang400" w:hAnsi="PingFang400" w:eastAsia="PingFang400" w:cs="PingFang400"/>
          <w:color w:val="333333"/>
          <w:sz w:val="21"/>
          <w:szCs w:val="21"/>
          <w:shd w:val="clear" w:fill="FFFFFF"/>
        </w:rPr>
        <w:t>（一）普通高校高职（专科）毕业生及在校生（含高校新生）在浙江省应征入伍，退役后完成高职（专科）学业。</w:t>
      </w:r>
    </w:p>
    <w:p w14:paraId="7CC647F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0" w:lineRule="atLeast"/>
        <w:ind w:left="0" w:right="0" w:firstLine="430"/>
        <w:jc w:val="both"/>
        <w:rPr>
          <w:rFonts w:hint="default" w:ascii="PingFang400" w:hAnsi="PingFang400" w:eastAsia="PingFang400" w:cs="PingFang400"/>
        </w:rPr>
      </w:pPr>
      <w:r>
        <w:rPr>
          <w:rFonts w:hint="default" w:ascii="PingFang400" w:hAnsi="PingFang400" w:eastAsia="PingFang400" w:cs="PingFang400"/>
          <w:color w:val="333333"/>
          <w:sz w:val="21"/>
          <w:szCs w:val="21"/>
          <w:shd w:val="clear" w:fill="FFFFFF"/>
        </w:rPr>
        <w:t>（二）遵守中华人民共和国宪法和法律。</w:t>
      </w:r>
    </w:p>
    <w:p w14:paraId="08E9D5A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0" w:lineRule="atLeast"/>
        <w:ind w:left="0" w:right="0" w:firstLine="430"/>
        <w:jc w:val="both"/>
        <w:rPr>
          <w:rFonts w:hint="default" w:ascii="PingFang400" w:hAnsi="PingFang400" w:eastAsia="PingFang400" w:cs="PingFang400"/>
        </w:rPr>
      </w:pPr>
      <w:r>
        <w:rPr>
          <w:rFonts w:hint="default" w:ascii="PingFang400" w:hAnsi="PingFang400" w:eastAsia="PingFang400" w:cs="PingFang400"/>
          <w:color w:val="333333"/>
          <w:sz w:val="21"/>
          <w:szCs w:val="21"/>
          <w:shd w:val="clear" w:fill="FFFFFF"/>
        </w:rPr>
        <w:t>（三）身体健康。</w:t>
      </w:r>
    </w:p>
    <w:p w14:paraId="7B88756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0" w:lineRule="atLeast"/>
        <w:ind w:left="0" w:right="0" w:firstLine="430"/>
        <w:jc w:val="both"/>
        <w:rPr>
          <w:rFonts w:hint="default" w:ascii="PingFang400" w:hAnsi="PingFang400" w:eastAsia="PingFang400" w:cs="PingFang400"/>
        </w:rPr>
      </w:pPr>
    </w:p>
    <w:p w14:paraId="368376D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0" w:lineRule="atLeast"/>
        <w:ind w:left="0" w:right="0" w:firstLine="420"/>
        <w:jc w:val="center"/>
        <w:rPr>
          <w:rFonts w:hint="default" w:ascii="PingFang400" w:hAnsi="PingFang400" w:eastAsia="PingFang400" w:cs="PingFang400"/>
        </w:rPr>
      </w:pPr>
      <w:r>
        <w:rPr>
          <w:rStyle w:val="6"/>
          <w:rFonts w:hint="default" w:ascii="PingFang400" w:hAnsi="PingFang400" w:eastAsia="PingFang400" w:cs="PingFang400"/>
          <w:color w:val="333333"/>
          <w:sz w:val="21"/>
          <w:szCs w:val="21"/>
          <w:shd w:val="clear" w:fill="FFFFFF"/>
        </w:rPr>
        <w:t>第六章</w:t>
      </w:r>
      <w:r>
        <w:rPr>
          <w:rStyle w:val="6"/>
          <w:rFonts w:hint="default" w:ascii="PingFang400" w:hAnsi="PingFang400" w:eastAsia="PingFang400" w:cs="PingFang400"/>
          <w:color w:val="333333"/>
          <w:shd w:val="clear" w:fill="FFFFFF"/>
        </w:rPr>
        <w:t> </w:t>
      </w:r>
      <w:r>
        <w:rPr>
          <w:rStyle w:val="6"/>
          <w:rFonts w:hint="default" w:ascii="PingFang400" w:hAnsi="PingFang400" w:eastAsia="PingFang400" w:cs="PingFang400"/>
          <w:color w:val="333333"/>
          <w:sz w:val="21"/>
          <w:szCs w:val="21"/>
          <w:shd w:val="clear" w:fill="FFFFFF"/>
        </w:rPr>
        <w:t>报名办法及志愿填报</w:t>
      </w:r>
    </w:p>
    <w:p w14:paraId="66DF5C9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0" w:lineRule="atLeast"/>
        <w:ind w:left="0" w:right="0" w:firstLine="430"/>
        <w:jc w:val="both"/>
        <w:rPr>
          <w:rFonts w:hint="default" w:ascii="PingFang400" w:hAnsi="PingFang400" w:eastAsia="PingFang400" w:cs="PingFang400"/>
        </w:rPr>
      </w:pPr>
      <w:r>
        <w:rPr>
          <w:rStyle w:val="6"/>
          <w:rFonts w:hint="default" w:ascii="PingFang400" w:hAnsi="PingFang400" w:eastAsia="PingFang400" w:cs="PingFang400"/>
          <w:color w:val="333333"/>
          <w:sz w:val="21"/>
          <w:szCs w:val="21"/>
          <w:shd w:val="clear" w:fill="FFFFFF"/>
        </w:rPr>
        <w:t>第十四条</w:t>
      </w:r>
      <w:r>
        <w:rPr>
          <w:rFonts w:hint="default" w:ascii="PingFang400" w:hAnsi="PingFang400" w:eastAsia="PingFang400" w:cs="PingFang400"/>
          <w:color w:val="333333"/>
          <w:sz w:val="21"/>
          <w:szCs w:val="21"/>
          <w:shd w:val="clear" w:fill="FFFFFF"/>
        </w:rPr>
        <w:t> 报名办法、资格审核及志愿填报按《浙江省2025年退役大学生士兵免试专升本招生工作实施办法》文件执行。</w:t>
      </w:r>
    </w:p>
    <w:p w14:paraId="4BCC9E2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0" w:lineRule="atLeast"/>
        <w:ind w:left="0" w:right="0" w:firstLine="430"/>
        <w:jc w:val="both"/>
        <w:rPr>
          <w:rFonts w:hint="default" w:ascii="PingFang400" w:hAnsi="PingFang400" w:eastAsia="PingFang400" w:cs="PingFang400"/>
        </w:rPr>
      </w:pPr>
    </w:p>
    <w:p w14:paraId="59CA484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0" w:lineRule="atLeast"/>
        <w:ind w:left="0" w:right="0" w:firstLine="420"/>
        <w:jc w:val="center"/>
        <w:rPr>
          <w:rFonts w:hint="default" w:ascii="PingFang400" w:hAnsi="PingFang400" w:eastAsia="PingFang400" w:cs="PingFang400"/>
        </w:rPr>
      </w:pPr>
      <w:r>
        <w:rPr>
          <w:rStyle w:val="6"/>
          <w:rFonts w:hint="default" w:ascii="PingFang400" w:hAnsi="PingFang400" w:eastAsia="PingFang400" w:cs="PingFang400"/>
          <w:color w:val="333333"/>
          <w:sz w:val="21"/>
          <w:szCs w:val="21"/>
          <w:shd w:val="clear" w:fill="FFFFFF"/>
        </w:rPr>
        <w:t>第七章</w:t>
      </w:r>
      <w:r>
        <w:rPr>
          <w:rStyle w:val="6"/>
          <w:rFonts w:hint="default" w:ascii="PingFang400" w:hAnsi="PingFang400" w:eastAsia="PingFang400" w:cs="PingFang400"/>
          <w:color w:val="333333"/>
          <w:shd w:val="clear" w:fill="FFFFFF"/>
        </w:rPr>
        <w:t> </w:t>
      </w:r>
      <w:r>
        <w:rPr>
          <w:rStyle w:val="6"/>
          <w:rFonts w:hint="default" w:ascii="PingFang400" w:hAnsi="PingFang400" w:eastAsia="PingFang400" w:cs="PingFang400"/>
          <w:color w:val="333333"/>
          <w:sz w:val="21"/>
          <w:szCs w:val="21"/>
          <w:shd w:val="clear" w:fill="FFFFFF"/>
        </w:rPr>
        <w:t>选拨程序</w:t>
      </w:r>
    </w:p>
    <w:p w14:paraId="0250600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0" w:lineRule="atLeast"/>
        <w:ind w:left="0" w:right="0" w:firstLine="430"/>
        <w:jc w:val="both"/>
        <w:rPr>
          <w:rFonts w:hint="default" w:ascii="PingFang400" w:hAnsi="PingFang400" w:eastAsia="PingFang400" w:cs="PingFang400"/>
        </w:rPr>
      </w:pPr>
      <w:r>
        <w:rPr>
          <w:rStyle w:val="6"/>
          <w:rFonts w:hint="default" w:ascii="PingFang400" w:hAnsi="PingFang400" w:eastAsia="PingFang400" w:cs="PingFang400"/>
          <w:color w:val="333333"/>
          <w:sz w:val="21"/>
          <w:szCs w:val="21"/>
          <w:shd w:val="clear" w:fill="FFFFFF"/>
        </w:rPr>
        <w:t>第十五条 申请材料及要求</w:t>
      </w:r>
    </w:p>
    <w:p w14:paraId="433443C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0" w:lineRule="atLeast"/>
        <w:ind w:left="0" w:right="0" w:firstLine="430"/>
        <w:jc w:val="both"/>
        <w:rPr>
          <w:rFonts w:hint="default" w:ascii="PingFang400" w:hAnsi="PingFang400" w:eastAsia="PingFang400" w:cs="PingFang400"/>
        </w:rPr>
      </w:pPr>
      <w:r>
        <w:rPr>
          <w:rStyle w:val="6"/>
          <w:rFonts w:hint="default" w:ascii="PingFang400" w:hAnsi="PingFang400" w:eastAsia="PingFang400" w:cs="PingFang400"/>
          <w:color w:val="333333"/>
          <w:sz w:val="21"/>
          <w:szCs w:val="21"/>
          <w:shd w:val="clear" w:fill="FFFFFF"/>
        </w:rPr>
        <w:t>1.专科期间成绩单</w:t>
      </w:r>
    </w:p>
    <w:p w14:paraId="0796D6E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0" w:lineRule="atLeast"/>
        <w:ind w:left="0" w:right="0" w:firstLine="430"/>
        <w:jc w:val="both"/>
        <w:rPr>
          <w:rFonts w:hint="default" w:ascii="PingFang400" w:hAnsi="PingFang400" w:eastAsia="PingFang400" w:cs="PingFang400"/>
        </w:rPr>
      </w:pPr>
      <w:r>
        <w:rPr>
          <w:rFonts w:hint="default" w:ascii="PingFang400" w:hAnsi="PingFang400" w:eastAsia="PingFang400" w:cs="PingFang400"/>
          <w:color w:val="333333"/>
          <w:sz w:val="21"/>
          <w:szCs w:val="21"/>
          <w:shd w:val="clear" w:fill="FFFFFF"/>
        </w:rPr>
        <w:t>专科期间成绩单至少包含学校（学院）名称、班级（专业名称）、学号、学生姓名、学年学期、课程名称、课程性质、学分、成绩等基本信息内容。</w:t>
      </w:r>
    </w:p>
    <w:p w14:paraId="5DBA585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0" w:lineRule="atLeast"/>
        <w:ind w:left="0" w:right="0" w:firstLine="430"/>
        <w:jc w:val="both"/>
        <w:rPr>
          <w:rFonts w:hint="default" w:ascii="PingFang400" w:hAnsi="PingFang400" w:eastAsia="PingFang400" w:cs="PingFang400"/>
        </w:rPr>
      </w:pPr>
      <w:r>
        <w:rPr>
          <w:rFonts w:hint="default" w:ascii="PingFang400" w:hAnsi="PingFang400" w:eastAsia="PingFang400" w:cs="PingFang400"/>
          <w:color w:val="333333"/>
          <w:sz w:val="21"/>
          <w:szCs w:val="21"/>
          <w:shd w:val="clear" w:fill="FFFFFF"/>
        </w:rPr>
        <w:t>提供成绩单时每页须本人签字并加盖学校（含教务、档案部门）公章。</w:t>
      </w:r>
    </w:p>
    <w:p w14:paraId="4A140A9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0" w:lineRule="atLeast"/>
        <w:ind w:left="0" w:right="0" w:firstLine="430"/>
        <w:jc w:val="both"/>
        <w:rPr>
          <w:rFonts w:hint="default" w:ascii="PingFang400" w:hAnsi="PingFang400" w:eastAsia="PingFang400" w:cs="PingFang400"/>
        </w:rPr>
      </w:pPr>
      <w:r>
        <w:rPr>
          <w:rStyle w:val="6"/>
          <w:rFonts w:hint="default" w:ascii="PingFang400" w:hAnsi="PingFang400" w:eastAsia="PingFang400" w:cs="PingFang400"/>
          <w:color w:val="333333"/>
          <w:sz w:val="21"/>
          <w:szCs w:val="21"/>
          <w:shd w:val="clear" w:fill="FFFFFF"/>
        </w:rPr>
        <w:t>2.身份证明</w:t>
      </w:r>
    </w:p>
    <w:p w14:paraId="3BA47E2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0" w:lineRule="atLeast"/>
        <w:ind w:left="0" w:right="0" w:firstLine="430"/>
        <w:jc w:val="both"/>
        <w:rPr>
          <w:rFonts w:hint="default" w:ascii="PingFang400" w:hAnsi="PingFang400" w:eastAsia="PingFang400" w:cs="PingFang400"/>
        </w:rPr>
      </w:pPr>
      <w:r>
        <w:rPr>
          <w:rFonts w:hint="default" w:ascii="PingFang400" w:hAnsi="PingFang400" w:eastAsia="PingFang400" w:cs="PingFang400"/>
          <w:color w:val="333333"/>
          <w:sz w:val="21"/>
          <w:szCs w:val="21"/>
          <w:shd w:val="clear" w:fill="FFFFFF"/>
        </w:rPr>
        <w:t>身份证明为有效期内的居民身份证（临时居民身份证）。</w:t>
      </w:r>
    </w:p>
    <w:p w14:paraId="2320503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0" w:lineRule="atLeast"/>
        <w:ind w:left="0" w:right="0" w:firstLine="430"/>
        <w:jc w:val="both"/>
        <w:rPr>
          <w:rFonts w:hint="default" w:ascii="PingFang400" w:hAnsi="PingFang400" w:eastAsia="PingFang400" w:cs="PingFang400"/>
        </w:rPr>
      </w:pPr>
      <w:r>
        <w:rPr>
          <w:rFonts w:hint="default" w:ascii="PingFang400" w:hAnsi="PingFang400" w:eastAsia="PingFang400" w:cs="PingFang400"/>
          <w:color w:val="333333"/>
          <w:sz w:val="21"/>
          <w:szCs w:val="21"/>
          <w:shd w:val="clear" w:fill="FFFFFF"/>
        </w:rPr>
        <w:t>提供身份证明时须彩色扫描两面（含人像面和国徽面）。</w:t>
      </w:r>
    </w:p>
    <w:p w14:paraId="3BD8F1C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0" w:lineRule="atLeast"/>
        <w:ind w:left="0" w:right="0" w:firstLine="430"/>
        <w:jc w:val="both"/>
        <w:rPr>
          <w:rFonts w:hint="default" w:ascii="PingFang400" w:hAnsi="PingFang400" w:eastAsia="PingFang400" w:cs="PingFang400"/>
        </w:rPr>
      </w:pPr>
    </w:p>
    <w:p w14:paraId="76B029F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0" w:lineRule="atLeast"/>
        <w:ind w:left="0" w:right="0" w:firstLine="430"/>
        <w:jc w:val="both"/>
        <w:rPr>
          <w:rFonts w:hint="default" w:ascii="PingFang400" w:hAnsi="PingFang400" w:eastAsia="PingFang400" w:cs="PingFang400"/>
        </w:rPr>
      </w:pPr>
      <w:r>
        <w:rPr>
          <w:rFonts w:hint="default" w:ascii="PingFang400" w:hAnsi="PingFang400" w:eastAsia="PingFang400" w:cs="PingFang400"/>
          <w:color w:val="333333"/>
          <w:sz w:val="21"/>
          <w:szCs w:val="21"/>
          <w:shd w:val="clear" w:fill="FFFFFF"/>
        </w:rPr>
        <w:t>所有已填报我校志愿的考生须同时向我校提供申请材料的电子文档和纸质文本。电子文档须彩色扫描成JPG格式发送至电子邮箱zsb@tzc.edu.cn。邮件主题命名格式为：“报考类别（经管或理工）+第X院校志愿（或征集志愿）+姓名+手机号”。</w:t>
      </w:r>
    </w:p>
    <w:p w14:paraId="2799714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60" w:afterAutospacing="0" w:line="390" w:lineRule="atLeast"/>
        <w:ind w:left="0" w:right="0" w:firstLine="430"/>
        <w:jc w:val="both"/>
        <w:rPr>
          <w:rFonts w:hint="default" w:ascii="PingFang400" w:hAnsi="PingFang400" w:eastAsia="PingFang400" w:cs="PingFang400"/>
        </w:rPr>
      </w:pPr>
      <w:r>
        <w:rPr>
          <w:rFonts w:hint="default" w:ascii="PingFang400" w:hAnsi="PingFang400" w:eastAsia="PingFang400" w:cs="PingFang400"/>
          <w:color w:val="333333"/>
          <w:sz w:val="21"/>
          <w:szCs w:val="21"/>
          <w:shd w:val="clear" w:fill="FFFFFF"/>
        </w:rPr>
        <w:t>申请材料的纸质文本须为电子文档的原件。考生邮寄前应按成绩单、身份证明顺序从上到下以A4纸标准装订成册。邮寄地址：浙江省台州市市府大道1139号台州学院教务处（招生办公室），联系电话：0576-88669696，邮编：318000。学校仅接收EMS邮政特快专递。</w:t>
      </w:r>
    </w:p>
    <w:p w14:paraId="54C24DA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0" w:lineRule="atLeast"/>
        <w:ind w:left="0" w:right="0" w:firstLine="430"/>
        <w:jc w:val="both"/>
        <w:rPr>
          <w:rFonts w:hint="default" w:ascii="PingFang400" w:hAnsi="PingFang400" w:eastAsia="PingFang400" w:cs="PingFang400"/>
        </w:rPr>
      </w:pPr>
      <w:r>
        <w:rPr>
          <w:rFonts w:hint="default" w:ascii="PingFang400" w:hAnsi="PingFang400" w:eastAsia="PingFang400" w:cs="PingFang400"/>
          <w:color w:val="333333"/>
          <w:sz w:val="21"/>
          <w:szCs w:val="21"/>
          <w:shd w:val="clear" w:fill="FFFFFF"/>
        </w:rPr>
        <w:t>第一院校志愿、第二院校志愿和第三院校志愿报考我校的考生须在3月25日16：00前同时提交申请材料的电子文档和纸质文本。征集志愿报考我校的考生须在志愿填报结束当天内提交申请材料的电子文档和纸质文本。考生提交申请材料的时间以邮件发送时间和寄出地邮戳时间为准。学校录取过程及相关要求会根据浙江省教育考试院免试专升本录取工作进程作相应调整，请有关考生及时关注学校本科招生网及微信发布平台。</w:t>
      </w:r>
    </w:p>
    <w:p w14:paraId="5E08010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60" w:afterAutospacing="0" w:line="390" w:lineRule="atLeast"/>
        <w:ind w:left="0" w:right="0" w:firstLine="430"/>
        <w:jc w:val="both"/>
        <w:rPr>
          <w:rFonts w:hint="default" w:ascii="PingFang400" w:hAnsi="PingFang400" w:eastAsia="PingFang400" w:cs="PingFang400"/>
        </w:rPr>
      </w:pPr>
      <w:r>
        <w:rPr>
          <w:rFonts w:hint="default" w:ascii="PingFang400" w:hAnsi="PingFang400" w:eastAsia="PingFang400" w:cs="PingFang400"/>
          <w:color w:val="333333"/>
          <w:sz w:val="21"/>
          <w:szCs w:val="21"/>
          <w:shd w:val="clear" w:fill="FFFFFF"/>
        </w:rPr>
        <w:t>在申请材料提交过程中，如出现未按要求提供材料、材料不全、电子文档与纸质文本不一致、申请信息模糊不清、本人未签名、学校未盖章等情况影响选拔过程的，责任由考生自行承担。</w:t>
      </w:r>
    </w:p>
    <w:p w14:paraId="2291BB6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0" w:lineRule="atLeast"/>
        <w:ind w:left="0" w:right="0" w:firstLine="430"/>
        <w:jc w:val="both"/>
        <w:rPr>
          <w:rFonts w:hint="default" w:ascii="PingFang400" w:hAnsi="PingFang400" w:eastAsia="PingFang400" w:cs="PingFang400"/>
        </w:rPr>
      </w:pPr>
      <w:r>
        <w:rPr>
          <w:rStyle w:val="6"/>
          <w:rFonts w:hint="default" w:ascii="PingFang400" w:hAnsi="PingFang400" w:eastAsia="PingFang400" w:cs="PingFang400"/>
          <w:color w:val="333333"/>
          <w:sz w:val="21"/>
          <w:szCs w:val="21"/>
          <w:shd w:val="clear" w:fill="FFFFFF"/>
        </w:rPr>
        <w:t>第十六条</w:t>
      </w:r>
      <w:r>
        <w:rPr>
          <w:rFonts w:hint="default" w:ascii="PingFang400" w:hAnsi="PingFang400" w:eastAsia="PingFang400" w:cs="PingFang400"/>
          <w:color w:val="333333"/>
          <w:sz w:val="21"/>
          <w:szCs w:val="21"/>
          <w:shd w:val="clear" w:fill="FFFFFF"/>
        </w:rPr>
        <w:t> 学校对申请材料进行审核，依据考生专科期间的成绩单计算平均学分绩点进行选拨，学校不再组织其他测试。</w:t>
      </w:r>
    </w:p>
    <w:p w14:paraId="05A1323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0" w:lineRule="atLeast"/>
        <w:ind w:left="0" w:right="0" w:firstLine="430"/>
        <w:jc w:val="both"/>
        <w:rPr>
          <w:rFonts w:hint="default" w:ascii="PingFang400" w:hAnsi="PingFang400" w:eastAsia="PingFang400" w:cs="PingFang400"/>
        </w:rPr>
      </w:pPr>
      <w:r>
        <w:rPr>
          <w:rStyle w:val="6"/>
          <w:rFonts w:hint="default" w:ascii="PingFang400" w:hAnsi="PingFang400" w:eastAsia="PingFang400" w:cs="PingFang400"/>
          <w:color w:val="333333"/>
          <w:sz w:val="21"/>
          <w:szCs w:val="21"/>
          <w:shd w:val="clear" w:fill="FFFFFF"/>
        </w:rPr>
        <w:t>第十七条</w:t>
      </w:r>
      <w:r>
        <w:rPr>
          <w:rFonts w:hint="default" w:ascii="PingFang400" w:hAnsi="PingFang400" w:eastAsia="PingFang400" w:cs="PingFang400"/>
          <w:color w:val="333333"/>
          <w:sz w:val="21"/>
          <w:szCs w:val="21"/>
          <w:shd w:val="clear" w:fill="FFFFFF"/>
        </w:rPr>
        <w:t> 平均学分绩点的计算办法</w:t>
      </w:r>
    </w:p>
    <w:p w14:paraId="65A2E23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0" w:lineRule="atLeast"/>
        <w:ind w:left="0" w:right="0" w:firstLine="430"/>
        <w:jc w:val="both"/>
        <w:rPr>
          <w:rFonts w:hint="default" w:ascii="PingFang400" w:hAnsi="PingFang400" w:eastAsia="PingFang400" w:cs="PingFang400"/>
        </w:rPr>
      </w:pPr>
      <w:r>
        <w:rPr>
          <w:rFonts w:hint="default" w:ascii="PingFang400" w:hAnsi="PingFang400" w:eastAsia="PingFang400" w:cs="PingFang400"/>
          <w:color w:val="333333"/>
          <w:sz w:val="21"/>
          <w:szCs w:val="21"/>
          <w:shd w:val="clear" w:fill="FFFFFF"/>
        </w:rPr>
        <w:t>                           Σ（课程学分绩点）</w:t>
      </w:r>
    </w:p>
    <w:p w14:paraId="263D457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0" w:lineRule="atLeast"/>
        <w:ind w:left="0" w:right="0" w:firstLine="430"/>
        <w:jc w:val="both"/>
        <w:rPr>
          <w:rFonts w:hint="default" w:ascii="PingFang400" w:hAnsi="PingFang400" w:eastAsia="PingFang400" w:cs="PingFang400"/>
        </w:rPr>
      </w:pPr>
      <w:r>
        <w:rPr>
          <w:rFonts w:hint="default" w:ascii="PingFang400" w:hAnsi="PingFang400" w:eastAsia="PingFang400" w:cs="PingFang400"/>
          <w:color w:val="333333"/>
          <w:sz w:val="21"/>
          <w:szCs w:val="21"/>
          <w:shd w:val="clear" w:fill="FFFFFF"/>
        </w:rPr>
        <w:t>平均学分绩点=——————————</w:t>
      </w:r>
    </w:p>
    <w:p w14:paraId="343EC01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0" w:lineRule="atLeast"/>
        <w:ind w:left="0" w:right="0" w:firstLine="430"/>
        <w:jc w:val="both"/>
        <w:rPr>
          <w:rFonts w:hint="default" w:ascii="PingFang400" w:hAnsi="PingFang400" w:eastAsia="PingFang400" w:cs="PingFang400"/>
        </w:rPr>
      </w:pPr>
      <w:r>
        <w:rPr>
          <w:rFonts w:hint="default" w:ascii="PingFang400" w:hAnsi="PingFang400" w:eastAsia="PingFang400" w:cs="PingFang400"/>
          <w:color w:val="333333"/>
          <w:sz w:val="21"/>
          <w:szCs w:val="21"/>
          <w:shd w:val="clear" w:fill="FFFFFF"/>
        </w:rPr>
        <w:t>                               Σ（课程学分）</w:t>
      </w:r>
    </w:p>
    <w:p w14:paraId="6D12DC8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4" w:lineRule="atLeast"/>
        <w:ind w:left="0" w:right="0" w:firstLine="420"/>
        <w:jc w:val="center"/>
        <w:rPr>
          <w:rFonts w:hint="default" w:ascii="PingFang400" w:hAnsi="PingFang400" w:eastAsia="PingFang400" w:cs="PingFang400"/>
        </w:rPr>
      </w:pPr>
    </w:p>
    <w:p w14:paraId="7639310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10"/>
        <w:jc w:val="both"/>
        <w:rPr>
          <w:rFonts w:hint="default" w:ascii="PingFang400" w:hAnsi="PingFang400" w:eastAsia="PingFang400" w:cs="PingFang400"/>
        </w:rPr>
      </w:pPr>
      <w:r>
        <w:rPr>
          <w:rFonts w:hint="default" w:ascii="PingFang400" w:hAnsi="PingFang400" w:eastAsia="PingFang400" w:cs="PingFang400"/>
          <w:color w:val="333333"/>
          <w:sz w:val="21"/>
          <w:szCs w:val="21"/>
        </w:rPr>
        <w:t>其中，课程学分绩点=某门课程绩点×该门课程学分。补考、重修以及未在课程绩点换算范围的成绩不列入成绩排名统计。平均学分绩点成绩取小数点后两位。</w:t>
      </w:r>
    </w:p>
    <w:p w14:paraId="5D6824E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30"/>
        <w:jc w:val="center"/>
        <w:rPr>
          <w:rFonts w:hint="default" w:ascii="PingFang400" w:hAnsi="PingFang400" w:eastAsia="PingFang400" w:cs="PingFang400"/>
        </w:rPr>
      </w:pPr>
      <w:r>
        <w:rPr>
          <w:rFonts w:hint="default" w:ascii="PingFang400" w:hAnsi="PingFang400" w:eastAsia="PingFang400" w:cs="PingFang400"/>
          <w:color w:val="333333"/>
          <w:sz w:val="21"/>
          <w:szCs w:val="21"/>
        </w:rPr>
        <w:t>各级记分制与百分制成绩及绩点的换算如下：</w:t>
      </w:r>
    </w:p>
    <w:tbl>
      <w:tblPr>
        <w:tblStyle w:val="4"/>
        <w:tblW w:w="90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757"/>
        <w:gridCol w:w="1448"/>
        <w:gridCol w:w="1464"/>
        <w:gridCol w:w="1366"/>
        <w:gridCol w:w="1416"/>
        <w:gridCol w:w="1627"/>
      </w:tblGrid>
      <w:tr w14:paraId="4840C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33"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6D208F6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firstLine="0"/>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sz w:val="19"/>
                <w:szCs w:val="19"/>
              </w:rPr>
              <w:t>百分制成绩</w:t>
            </w:r>
          </w:p>
        </w:tc>
        <w:tc>
          <w:tcPr>
            <w:tcW w:w="1448" w:type="dxa"/>
            <w:tcBorders>
              <w:top w:val="single" w:color="000000" w:sz="4" w:space="0"/>
              <w:left w:val="nil"/>
              <w:bottom w:val="single" w:color="000000" w:sz="4" w:space="0"/>
              <w:right w:val="single" w:color="000000" w:sz="4" w:space="0"/>
            </w:tcBorders>
            <w:shd w:val="clear" w:color="auto" w:fill="FFFFFF"/>
            <w:tcMar>
              <w:top w:w="0" w:type="dxa"/>
              <w:left w:w="70" w:type="dxa"/>
              <w:bottom w:w="0" w:type="dxa"/>
              <w:right w:w="70" w:type="dxa"/>
            </w:tcMar>
            <w:vAlign w:val="center"/>
          </w:tcPr>
          <w:p w14:paraId="4EC0696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sz w:val="19"/>
                <w:szCs w:val="19"/>
              </w:rPr>
              <w:t>90-100</w:t>
            </w:r>
          </w:p>
        </w:tc>
        <w:tc>
          <w:tcPr>
            <w:tcW w:w="1464" w:type="dxa"/>
            <w:tcBorders>
              <w:top w:val="single" w:color="000000" w:sz="4" w:space="0"/>
              <w:left w:val="nil"/>
              <w:bottom w:val="single" w:color="000000" w:sz="4" w:space="0"/>
              <w:right w:val="single" w:color="000000" w:sz="4" w:space="0"/>
            </w:tcBorders>
            <w:shd w:val="clear" w:color="auto" w:fill="FFFFFF"/>
            <w:tcMar>
              <w:top w:w="0" w:type="dxa"/>
              <w:left w:w="70" w:type="dxa"/>
              <w:bottom w:w="0" w:type="dxa"/>
              <w:right w:w="70" w:type="dxa"/>
            </w:tcMar>
            <w:vAlign w:val="center"/>
          </w:tcPr>
          <w:p w14:paraId="3449E37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sz w:val="19"/>
                <w:szCs w:val="19"/>
              </w:rPr>
              <w:t>80-89</w:t>
            </w:r>
          </w:p>
        </w:tc>
        <w:tc>
          <w:tcPr>
            <w:tcW w:w="1366" w:type="dxa"/>
            <w:tcBorders>
              <w:top w:val="single" w:color="000000" w:sz="4" w:space="0"/>
              <w:left w:val="nil"/>
              <w:bottom w:val="single" w:color="000000" w:sz="4" w:space="0"/>
              <w:right w:val="single" w:color="000000" w:sz="4" w:space="0"/>
            </w:tcBorders>
            <w:shd w:val="clear" w:color="auto" w:fill="FFFFFF"/>
            <w:tcMar>
              <w:top w:w="0" w:type="dxa"/>
              <w:left w:w="70" w:type="dxa"/>
              <w:bottom w:w="0" w:type="dxa"/>
              <w:right w:w="70" w:type="dxa"/>
            </w:tcMar>
            <w:vAlign w:val="center"/>
          </w:tcPr>
          <w:p w14:paraId="211E111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sz w:val="19"/>
                <w:szCs w:val="19"/>
              </w:rPr>
              <w:t>70-79</w:t>
            </w:r>
          </w:p>
        </w:tc>
        <w:tc>
          <w:tcPr>
            <w:tcW w:w="1416" w:type="dxa"/>
            <w:tcBorders>
              <w:top w:val="single" w:color="000000" w:sz="4" w:space="0"/>
              <w:left w:val="nil"/>
              <w:bottom w:val="single" w:color="000000" w:sz="4" w:space="0"/>
              <w:right w:val="single" w:color="000000" w:sz="4" w:space="0"/>
            </w:tcBorders>
            <w:shd w:val="clear" w:color="auto" w:fill="FFFFFF"/>
            <w:tcMar>
              <w:top w:w="0" w:type="dxa"/>
              <w:left w:w="70" w:type="dxa"/>
              <w:bottom w:w="0" w:type="dxa"/>
              <w:right w:w="70" w:type="dxa"/>
            </w:tcMar>
            <w:vAlign w:val="center"/>
          </w:tcPr>
          <w:p w14:paraId="068CE34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sz w:val="19"/>
                <w:szCs w:val="19"/>
              </w:rPr>
              <w:t>60-69</w:t>
            </w:r>
          </w:p>
        </w:tc>
        <w:tc>
          <w:tcPr>
            <w:tcW w:w="1627" w:type="dxa"/>
            <w:tcBorders>
              <w:top w:val="single" w:color="000000" w:sz="4" w:space="0"/>
              <w:left w:val="nil"/>
              <w:bottom w:val="single" w:color="000000" w:sz="4" w:space="0"/>
              <w:right w:val="single" w:color="000000" w:sz="4" w:space="0"/>
            </w:tcBorders>
            <w:shd w:val="clear" w:color="auto" w:fill="FFFFFF"/>
            <w:tcMar>
              <w:top w:w="0" w:type="dxa"/>
              <w:left w:w="70" w:type="dxa"/>
              <w:bottom w:w="0" w:type="dxa"/>
              <w:right w:w="70" w:type="dxa"/>
            </w:tcMar>
            <w:vAlign w:val="center"/>
          </w:tcPr>
          <w:p w14:paraId="35EFA22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sz w:val="19"/>
                <w:szCs w:val="19"/>
              </w:rPr>
              <w:t>&lt;60</w:t>
            </w:r>
          </w:p>
        </w:tc>
      </w:tr>
      <w:tr w14:paraId="6CBBE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3" w:hRule="atLeast"/>
          <w:jc w:val="center"/>
        </w:trPr>
        <w:tc>
          <w:tcPr>
            <w:tcW w:w="1757" w:type="dxa"/>
            <w:tcBorders>
              <w:top w:val="nil"/>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3AA7F75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firstLine="0"/>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sz w:val="19"/>
                <w:szCs w:val="19"/>
              </w:rPr>
              <w:t>课程绩点</w:t>
            </w:r>
          </w:p>
        </w:tc>
        <w:tc>
          <w:tcPr>
            <w:tcW w:w="1448"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14:paraId="6A07D5F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sz w:val="19"/>
                <w:szCs w:val="19"/>
              </w:rPr>
              <w:t>4.0-5.0</w:t>
            </w:r>
          </w:p>
        </w:tc>
        <w:tc>
          <w:tcPr>
            <w:tcW w:w="1464"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14:paraId="2955838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sz w:val="19"/>
                <w:szCs w:val="19"/>
              </w:rPr>
              <w:t>3.0-3.9</w:t>
            </w:r>
          </w:p>
        </w:tc>
        <w:tc>
          <w:tcPr>
            <w:tcW w:w="1366"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14:paraId="794AA2B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sz w:val="19"/>
                <w:szCs w:val="19"/>
              </w:rPr>
              <w:t>2.0-2.9</w:t>
            </w:r>
          </w:p>
        </w:tc>
        <w:tc>
          <w:tcPr>
            <w:tcW w:w="1416"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14:paraId="3AA1A76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sz w:val="19"/>
                <w:szCs w:val="19"/>
              </w:rPr>
              <w:t>1.0-1.9</w:t>
            </w:r>
          </w:p>
        </w:tc>
        <w:tc>
          <w:tcPr>
            <w:tcW w:w="1627"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14:paraId="26C7F3B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sz w:val="19"/>
                <w:szCs w:val="19"/>
              </w:rPr>
              <w:t>0</w:t>
            </w:r>
          </w:p>
        </w:tc>
      </w:tr>
      <w:tr w14:paraId="0DDF0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3" w:hRule="atLeast"/>
          <w:jc w:val="center"/>
        </w:trPr>
        <w:tc>
          <w:tcPr>
            <w:tcW w:w="1757" w:type="dxa"/>
            <w:tcBorders>
              <w:top w:val="nil"/>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3B2A6C6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firstLine="0"/>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sz w:val="19"/>
                <w:szCs w:val="19"/>
              </w:rPr>
              <w:t>五级制及对应的百分制</w:t>
            </w:r>
          </w:p>
        </w:tc>
        <w:tc>
          <w:tcPr>
            <w:tcW w:w="1448"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14:paraId="19E3A72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sz w:val="19"/>
                <w:szCs w:val="19"/>
              </w:rPr>
              <w:t>优=95</w:t>
            </w:r>
          </w:p>
        </w:tc>
        <w:tc>
          <w:tcPr>
            <w:tcW w:w="1464"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14:paraId="0538FB0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sz w:val="19"/>
                <w:szCs w:val="19"/>
              </w:rPr>
              <w:t>良=85</w:t>
            </w:r>
          </w:p>
        </w:tc>
        <w:tc>
          <w:tcPr>
            <w:tcW w:w="1366"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14:paraId="090A35D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sz w:val="19"/>
                <w:szCs w:val="19"/>
              </w:rPr>
              <w:t>中=75</w:t>
            </w:r>
          </w:p>
        </w:tc>
        <w:tc>
          <w:tcPr>
            <w:tcW w:w="1416"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14:paraId="4D6BC0C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sz w:val="19"/>
                <w:szCs w:val="19"/>
              </w:rPr>
              <w:t>及格=65</w:t>
            </w:r>
          </w:p>
        </w:tc>
        <w:tc>
          <w:tcPr>
            <w:tcW w:w="1627"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14:paraId="6131EB7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sz w:val="19"/>
                <w:szCs w:val="19"/>
              </w:rPr>
              <w:t>不及格=50</w:t>
            </w:r>
          </w:p>
        </w:tc>
      </w:tr>
      <w:tr w14:paraId="4FBBA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1" w:hRule="atLeast"/>
          <w:jc w:val="center"/>
        </w:trPr>
        <w:tc>
          <w:tcPr>
            <w:tcW w:w="1757" w:type="dxa"/>
            <w:tcBorders>
              <w:top w:val="nil"/>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4AAE8F2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firstLine="0"/>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sz w:val="19"/>
                <w:szCs w:val="19"/>
              </w:rPr>
              <w:t>课程绩点</w:t>
            </w:r>
          </w:p>
        </w:tc>
        <w:tc>
          <w:tcPr>
            <w:tcW w:w="1448"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14:paraId="554E5B7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sz w:val="19"/>
                <w:szCs w:val="19"/>
              </w:rPr>
              <w:t>4.5</w:t>
            </w:r>
          </w:p>
        </w:tc>
        <w:tc>
          <w:tcPr>
            <w:tcW w:w="1464"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14:paraId="16C00BB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sz w:val="19"/>
                <w:szCs w:val="19"/>
              </w:rPr>
              <w:t>3.5</w:t>
            </w:r>
          </w:p>
        </w:tc>
        <w:tc>
          <w:tcPr>
            <w:tcW w:w="1366"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14:paraId="66A96C9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sz w:val="19"/>
                <w:szCs w:val="19"/>
              </w:rPr>
              <w:t>2.5</w:t>
            </w:r>
          </w:p>
        </w:tc>
        <w:tc>
          <w:tcPr>
            <w:tcW w:w="1416"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14:paraId="2098D1C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sz w:val="19"/>
                <w:szCs w:val="19"/>
              </w:rPr>
              <w:t>1.5</w:t>
            </w:r>
          </w:p>
        </w:tc>
        <w:tc>
          <w:tcPr>
            <w:tcW w:w="1627"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14:paraId="0E3E928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sz w:val="19"/>
                <w:szCs w:val="19"/>
              </w:rPr>
              <w:t>0</w:t>
            </w:r>
          </w:p>
        </w:tc>
      </w:tr>
      <w:tr w14:paraId="6B335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3" w:hRule="atLeast"/>
          <w:jc w:val="center"/>
        </w:trPr>
        <w:tc>
          <w:tcPr>
            <w:tcW w:w="1757" w:type="dxa"/>
            <w:tcBorders>
              <w:top w:val="nil"/>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2A7DFA5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firstLine="0"/>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sz w:val="19"/>
                <w:szCs w:val="19"/>
              </w:rPr>
              <w:t>两级制及对应的百分制</w:t>
            </w:r>
          </w:p>
        </w:tc>
        <w:tc>
          <w:tcPr>
            <w:tcW w:w="5694" w:type="dxa"/>
            <w:gridSpan w:val="4"/>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14:paraId="383C967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sz w:val="19"/>
                <w:szCs w:val="19"/>
              </w:rPr>
              <w:t>合格=80</w:t>
            </w:r>
          </w:p>
        </w:tc>
        <w:tc>
          <w:tcPr>
            <w:tcW w:w="1627"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14:paraId="78BA549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sz w:val="19"/>
                <w:szCs w:val="19"/>
              </w:rPr>
              <w:t>不合格=50</w:t>
            </w:r>
          </w:p>
        </w:tc>
      </w:tr>
      <w:tr w14:paraId="549BE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0" w:hRule="atLeast"/>
          <w:jc w:val="center"/>
        </w:trPr>
        <w:tc>
          <w:tcPr>
            <w:tcW w:w="1757" w:type="dxa"/>
            <w:tcBorders>
              <w:top w:val="nil"/>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1ECFFAE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firstLine="0"/>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sz w:val="19"/>
                <w:szCs w:val="19"/>
              </w:rPr>
              <w:t>课程绩点</w:t>
            </w:r>
          </w:p>
        </w:tc>
        <w:tc>
          <w:tcPr>
            <w:tcW w:w="5694" w:type="dxa"/>
            <w:gridSpan w:val="4"/>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14:paraId="5CD355D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sz w:val="19"/>
                <w:szCs w:val="19"/>
              </w:rPr>
              <w:t>3.0</w:t>
            </w:r>
          </w:p>
        </w:tc>
        <w:tc>
          <w:tcPr>
            <w:tcW w:w="1627"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14:paraId="1087940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sz w:val="19"/>
                <w:szCs w:val="19"/>
              </w:rPr>
              <w:t>0</w:t>
            </w:r>
          </w:p>
        </w:tc>
      </w:tr>
    </w:tbl>
    <w:p w14:paraId="7B82512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0" w:lineRule="atLeast"/>
        <w:ind w:left="0" w:right="0" w:firstLine="430"/>
        <w:jc w:val="both"/>
        <w:rPr>
          <w:rFonts w:hint="default" w:ascii="PingFang400" w:hAnsi="PingFang400" w:eastAsia="PingFang400" w:cs="PingFang400"/>
        </w:rPr>
      </w:pPr>
    </w:p>
    <w:p w14:paraId="39BCC7D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0" w:lineRule="atLeast"/>
        <w:ind w:left="0" w:right="0" w:firstLine="420"/>
        <w:jc w:val="center"/>
        <w:rPr>
          <w:rFonts w:hint="default" w:ascii="PingFang400" w:hAnsi="PingFang400" w:eastAsia="PingFang400" w:cs="PingFang400"/>
        </w:rPr>
      </w:pPr>
      <w:r>
        <w:rPr>
          <w:rStyle w:val="6"/>
          <w:rFonts w:hint="default" w:ascii="PingFang400" w:hAnsi="PingFang400" w:eastAsia="PingFang400" w:cs="PingFang400"/>
          <w:color w:val="333333"/>
          <w:sz w:val="21"/>
          <w:szCs w:val="21"/>
          <w:shd w:val="clear" w:fill="FFFFFF"/>
        </w:rPr>
        <w:t>第八章</w:t>
      </w:r>
      <w:r>
        <w:rPr>
          <w:rStyle w:val="6"/>
          <w:rFonts w:hint="default" w:ascii="PingFang400" w:hAnsi="PingFang400" w:eastAsia="PingFang400" w:cs="PingFang400"/>
          <w:color w:val="333333"/>
          <w:shd w:val="clear" w:fill="FFFFFF"/>
        </w:rPr>
        <w:t> </w:t>
      </w:r>
      <w:r>
        <w:rPr>
          <w:rStyle w:val="6"/>
          <w:rFonts w:hint="default" w:ascii="PingFang400" w:hAnsi="PingFang400" w:eastAsia="PingFang400" w:cs="PingFang400"/>
          <w:color w:val="333333"/>
          <w:sz w:val="21"/>
          <w:szCs w:val="21"/>
          <w:shd w:val="clear" w:fill="FFFFFF"/>
        </w:rPr>
        <w:t>录取办法</w:t>
      </w:r>
    </w:p>
    <w:p w14:paraId="2ED2682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firstLine="430"/>
        <w:jc w:val="both"/>
        <w:rPr>
          <w:rFonts w:hint="default" w:ascii="PingFang400" w:hAnsi="PingFang400" w:eastAsia="PingFang400" w:cs="PingFang400"/>
        </w:rPr>
      </w:pPr>
      <w:r>
        <w:rPr>
          <w:rStyle w:val="6"/>
          <w:rFonts w:hint="default" w:ascii="PingFang400" w:hAnsi="PingFang400" w:eastAsia="PingFang400" w:cs="PingFang400"/>
          <w:color w:val="333333"/>
          <w:sz w:val="21"/>
          <w:szCs w:val="21"/>
        </w:rPr>
        <w:t>第十八条</w:t>
      </w:r>
      <w:r>
        <w:rPr>
          <w:rFonts w:hint="default" w:ascii="PingFang400" w:hAnsi="PingFang400" w:eastAsia="PingFang400" w:cs="PingFang400"/>
          <w:color w:val="333333"/>
        </w:rPr>
        <w:t> </w:t>
      </w:r>
      <w:r>
        <w:rPr>
          <w:rFonts w:hint="default" w:ascii="PingFang400" w:hAnsi="PingFang400" w:eastAsia="PingFang400" w:cs="PingFang400"/>
          <w:color w:val="333333"/>
          <w:sz w:val="21"/>
          <w:szCs w:val="21"/>
        </w:rPr>
        <w:t>符合报考条件且入伍期间荣立个人三等功（含）以上的进档考生，学校将按专业志愿优先录取。</w:t>
      </w:r>
    </w:p>
    <w:p w14:paraId="1D22B7C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firstLine="430"/>
        <w:jc w:val="both"/>
        <w:rPr>
          <w:rFonts w:hint="default" w:ascii="PingFang400" w:hAnsi="PingFang400" w:eastAsia="PingFang400" w:cs="PingFang400"/>
        </w:rPr>
      </w:pPr>
      <w:r>
        <w:rPr>
          <w:rStyle w:val="6"/>
          <w:rFonts w:hint="default" w:ascii="PingFang400" w:hAnsi="PingFang400" w:eastAsia="PingFang400" w:cs="PingFang400"/>
          <w:color w:val="333333"/>
          <w:sz w:val="21"/>
          <w:szCs w:val="21"/>
        </w:rPr>
        <w:t>第十九条</w:t>
      </w:r>
      <w:r>
        <w:rPr>
          <w:rFonts w:hint="default" w:ascii="PingFang400" w:hAnsi="PingFang400" w:eastAsia="PingFang400" w:cs="PingFang400"/>
          <w:color w:val="333333"/>
        </w:rPr>
        <w:t> </w:t>
      </w:r>
      <w:r>
        <w:rPr>
          <w:rFonts w:hint="default" w:ascii="PingFang400" w:hAnsi="PingFang400" w:eastAsia="PingFang400" w:cs="PingFang400"/>
          <w:color w:val="333333"/>
          <w:sz w:val="21"/>
          <w:szCs w:val="21"/>
        </w:rPr>
        <w:t>学校按照志愿投档先后顺序分批录取。若第一志愿招生计划未完成，则接收第二志愿考生，并按第一志愿录取的工作流程进行。以此类推，直至第三志愿结束。</w:t>
      </w:r>
    </w:p>
    <w:p w14:paraId="2195918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4" w:lineRule="atLeast"/>
        <w:ind w:left="0" w:right="0" w:firstLine="420"/>
        <w:jc w:val="both"/>
        <w:rPr>
          <w:rFonts w:hint="default" w:ascii="PingFang400" w:hAnsi="PingFang400" w:eastAsia="PingFang400" w:cs="PingFang400"/>
        </w:rPr>
      </w:pPr>
      <w:r>
        <w:rPr>
          <w:rFonts w:hint="default" w:ascii="PingFang400" w:hAnsi="PingFang400" w:eastAsia="PingFang400" w:cs="PingFang400"/>
          <w:color w:val="333333"/>
          <w:spacing w:val="0"/>
          <w:sz w:val="21"/>
          <w:szCs w:val="21"/>
          <w:shd w:val="clear" w:fill="FFFFFF"/>
        </w:rPr>
        <w:t>若各类别各专业符合报名条件的进档考生数未超过相关专业招生计划数的，学校直接予以录取。</w:t>
      </w:r>
    </w:p>
    <w:p w14:paraId="1805C7C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4" w:lineRule="atLeast"/>
        <w:ind w:left="0" w:right="0" w:firstLine="420"/>
        <w:jc w:val="both"/>
        <w:rPr>
          <w:rFonts w:hint="default" w:ascii="PingFang400" w:hAnsi="PingFang400" w:eastAsia="PingFang400" w:cs="PingFang400"/>
        </w:rPr>
      </w:pPr>
      <w:r>
        <w:rPr>
          <w:rFonts w:hint="default" w:ascii="PingFang400" w:hAnsi="PingFang400" w:eastAsia="PingFang400" w:cs="PingFang400"/>
          <w:color w:val="333333"/>
          <w:spacing w:val="0"/>
          <w:sz w:val="21"/>
          <w:szCs w:val="21"/>
          <w:shd w:val="clear" w:fill="FFFFFF"/>
        </w:rPr>
        <w:t>若各类别各专业符合报名条件的进档考生数超过相关专业招生计划数的，则根据“分数优先，遵循志愿”的原则，按考生平均学分绩点从高到低择优录取。</w:t>
      </w:r>
    </w:p>
    <w:p w14:paraId="43D4FFC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4" w:lineRule="atLeast"/>
        <w:ind w:left="0" w:right="0" w:firstLine="430"/>
        <w:jc w:val="both"/>
        <w:rPr>
          <w:rFonts w:hint="default" w:ascii="PingFang400" w:hAnsi="PingFang400" w:eastAsia="PingFang400" w:cs="PingFang400"/>
        </w:rPr>
      </w:pPr>
      <w:r>
        <w:rPr>
          <w:rFonts w:hint="default" w:ascii="PingFang400" w:hAnsi="PingFang400" w:eastAsia="PingFang400" w:cs="PingFang400"/>
          <w:color w:val="333333"/>
          <w:spacing w:val="0"/>
          <w:sz w:val="21"/>
          <w:szCs w:val="21"/>
          <w:shd w:val="clear" w:fill="FFFFFF"/>
        </w:rPr>
        <w:t>平均学分绩点相同时，依次选取课程学分在4.0、3.0、2.0、1.0及以上的课程分别计算相应平均学分绩点成绩（取小数点后两位），从高到低择优录取。</w:t>
      </w:r>
    </w:p>
    <w:p w14:paraId="5A45E8A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0" w:lineRule="atLeast"/>
        <w:ind w:left="0" w:right="0" w:firstLine="430"/>
        <w:jc w:val="both"/>
        <w:rPr>
          <w:rFonts w:hint="default" w:ascii="PingFang400" w:hAnsi="PingFang400" w:eastAsia="PingFang400" w:cs="PingFang400"/>
        </w:rPr>
      </w:pPr>
      <w:r>
        <w:rPr>
          <w:rStyle w:val="6"/>
          <w:rFonts w:hint="default" w:ascii="PingFang400" w:hAnsi="PingFang400" w:eastAsia="PingFang400" w:cs="PingFang400"/>
          <w:color w:val="333333"/>
          <w:sz w:val="21"/>
          <w:szCs w:val="21"/>
          <w:shd w:val="clear" w:fill="FFFFFF"/>
        </w:rPr>
        <w:t>第二十条</w:t>
      </w:r>
      <w:r>
        <w:rPr>
          <w:rFonts w:hint="default" w:ascii="PingFang400" w:hAnsi="PingFang400" w:eastAsia="PingFang400" w:cs="PingFang400"/>
          <w:color w:val="333333"/>
          <w:sz w:val="21"/>
          <w:szCs w:val="21"/>
          <w:shd w:val="clear" w:fill="FFFFFF"/>
        </w:rPr>
        <w:t> 学校录取结果将按上级教育行政主管部门的有关要求进行公布。考生可通过台州学院本科招生网查询。</w:t>
      </w:r>
    </w:p>
    <w:p w14:paraId="0AFB6F9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0" w:lineRule="atLeast"/>
        <w:ind w:left="0" w:right="0" w:firstLine="430"/>
        <w:jc w:val="both"/>
        <w:rPr>
          <w:rFonts w:hint="default" w:ascii="PingFang400" w:hAnsi="PingFang400" w:eastAsia="PingFang400" w:cs="PingFang400"/>
        </w:rPr>
      </w:pPr>
      <w:r>
        <w:rPr>
          <w:rStyle w:val="6"/>
          <w:rFonts w:hint="default" w:ascii="PingFang400" w:hAnsi="PingFang400" w:eastAsia="PingFang400" w:cs="PingFang400"/>
          <w:color w:val="333333"/>
          <w:sz w:val="21"/>
          <w:szCs w:val="21"/>
          <w:shd w:val="clear" w:fill="FFFFFF"/>
        </w:rPr>
        <w:t>第二十一条 </w:t>
      </w:r>
      <w:r>
        <w:rPr>
          <w:rFonts w:hint="default" w:ascii="PingFang400" w:hAnsi="PingFang400" w:eastAsia="PingFang400" w:cs="PingFang400"/>
          <w:color w:val="333333"/>
          <w:sz w:val="21"/>
          <w:szCs w:val="21"/>
          <w:shd w:val="clear" w:fill="FFFFFF"/>
        </w:rPr>
        <w:t>时间安排：</w:t>
      </w:r>
    </w:p>
    <w:p w14:paraId="184706D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0" w:lineRule="atLeast"/>
        <w:ind w:left="0" w:right="0" w:firstLine="430"/>
        <w:jc w:val="both"/>
        <w:rPr>
          <w:rFonts w:hint="default" w:ascii="PingFang400" w:hAnsi="PingFang400" w:eastAsia="PingFang400" w:cs="PingFang400"/>
        </w:rPr>
      </w:pPr>
      <w:r>
        <w:rPr>
          <w:rFonts w:hint="default" w:ascii="PingFang400" w:hAnsi="PingFang400" w:eastAsia="PingFang400" w:cs="PingFang400"/>
          <w:color w:val="333333"/>
          <w:sz w:val="21"/>
          <w:szCs w:val="21"/>
          <w:shd w:val="clear" w:fill="FFFFFF"/>
        </w:rPr>
        <w:t>（—）申请材料审核：2025年3月底</w:t>
      </w:r>
    </w:p>
    <w:p w14:paraId="3A514CD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0" w:lineRule="atLeast"/>
        <w:ind w:left="0" w:right="0" w:firstLine="430"/>
        <w:jc w:val="both"/>
        <w:rPr>
          <w:rFonts w:hint="default" w:ascii="PingFang400" w:hAnsi="PingFang400" w:eastAsia="PingFang400" w:cs="PingFang400"/>
        </w:rPr>
      </w:pPr>
      <w:r>
        <w:rPr>
          <w:rFonts w:hint="default" w:ascii="PingFang400" w:hAnsi="PingFang400" w:eastAsia="PingFang400" w:cs="PingFang400"/>
          <w:color w:val="333333"/>
          <w:sz w:val="21"/>
          <w:szCs w:val="21"/>
          <w:shd w:val="clear" w:fill="FFFFFF"/>
        </w:rPr>
        <w:t>（二）拟录取名单公布：2025年4月底</w:t>
      </w:r>
    </w:p>
    <w:p w14:paraId="57CE73F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0" w:lineRule="atLeast"/>
        <w:ind w:left="0" w:right="0" w:firstLine="430"/>
        <w:jc w:val="both"/>
        <w:rPr>
          <w:rFonts w:hint="default" w:ascii="PingFang400" w:hAnsi="PingFang400" w:eastAsia="PingFang400" w:cs="PingFang400"/>
        </w:rPr>
      </w:pPr>
    </w:p>
    <w:p w14:paraId="14AFE6A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0" w:lineRule="atLeast"/>
        <w:ind w:left="0" w:right="0" w:firstLine="420"/>
        <w:jc w:val="center"/>
        <w:rPr>
          <w:rFonts w:hint="default" w:ascii="PingFang400" w:hAnsi="PingFang400" w:eastAsia="PingFang400" w:cs="PingFang400"/>
        </w:rPr>
      </w:pPr>
      <w:r>
        <w:rPr>
          <w:rStyle w:val="6"/>
          <w:rFonts w:hint="default" w:ascii="PingFang400" w:hAnsi="PingFang400" w:eastAsia="PingFang400" w:cs="PingFang400"/>
          <w:color w:val="333333"/>
          <w:sz w:val="21"/>
          <w:szCs w:val="21"/>
          <w:shd w:val="clear" w:fill="FFFFFF"/>
        </w:rPr>
        <w:t>第九章  入学报到及学籍管理</w:t>
      </w:r>
    </w:p>
    <w:p w14:paraId="71DCB33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0" w:lineRule="atLeast"/>
        <w:ind w:left="0" w:right="0" w:firstLine="430"/>
        <w:jc w:val="both"/>
        <w:rPr>
          <w:rFonts w:hint="default" w:ascii="PingFang400" w:hAnsi="PingFang400" w:eastAsia="PingFang400" w:cs="PingFang400"/>
        </w:rPr>
      </w:pPr>
      <w:r>
        <w:rPr>
          <w:rStyle w:val="6"/>
          <w:rFonts w:hint="default" w:ascii="PingFang400" w:hAnsi="PingFang400" w:eastAsia="PingFang400" w:cs="PingFang400"/>
          <w:color w:val="333333"/>
          <w:sz w:val="21"/>
          <w:szCs w:val="21"/>
          <w:shd w:val="clear" w:fill="FFFFFF"/>
        </w:rPr>
        <w:t>第二十二条 报到注册</w:t>
      </w:r>
    </w:p>
    <w:p w14:paraId="05731DC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0" w:lineRule="atLeast"/>
        <w:ind w:left="0" w:right="0" w:firstLine="430"/>
        <w:jc w:val="both"/>
        <w:rPr>
          <w:rFonts w:hint="default" w:ascii="PingFang400" w:hAnsi="PingFang400" w:eastAsia="PingFang400" w:cs="PingFang400"/>
        </w:rPr>
      </w:pPr>
      <w:r>
        <w:rPr>
          <w:rFonts w:hint="default" w:ascii="PingFang400" w:hAnsi="PingFang400" w:eastAsia="PingFang400" w:cs="PingFang400"/>
          <w:color w:val="333333"/>
          <w:sz w:val="21"/>
          <w:szCs w:val="21"/>
          <w:shd w:val="clear" w:fill="FFFFFF"/>
        </w:rPr>
        <w:t>新生应持录取通知书、本人身份证、退役证件和普通高校高职（专科）毕业证书原件报到注册，在规定期限内到校办理入学手续。因故不能按期入学者，应事先向学校请假。未请假或请假逾期者，视为放弃入学资格，此后不再享受免试专升本政策。免试专升本学生为全日制普通高等学校学生，学制两年。学费按学校同届学生收费标准执行。</w:t>
      </w:r>
    </w:p>
    <w:p w14:paraId="1F8A93A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0" w:lineRule="atLeast"/>
        <w:ind w:left="0" w:right="0" w:firstLine="430"/>
        <w:jc w:val="both"/>
        <w:rPr>
          <w:rFonts w:hint="default" w:ascii="PingFang400" w:hAnsi="PingFang400" w:eastAsia="PingFang400" w:cs="PingFang400"/>
        </w:rPr>
      </w:pPr>
      <w:r>
        <w:rPr>
          <w:rStyle w:val="6"/>
          <w:rFonts w:hint="default" w:ascii="PingFang400" w:hAnsi="PingFang400" w:eastAsia="PingFang400" w:cs="PingFang400"/>
          <w:color w:val="333333"/>
          <w:sz w:val="21"/>
          <w:szCs w:val="21"/>
          <w:shd w:val="clear" w:fill="FFFFFF"/>
        </w:rPr>
        <w:t>第二十三条 </w:t>
      </w:r>
      <w:r>
        <w:rPr>
          <w:rStyle w:val="6"/>
          <w:rFonts w:hint="default" w:ascii="PingFang400" w:hAnsi="PingFang400" w:eastAsia="PingFang400" w:cs="PingFang400"/>
          <w:color w:val="333333"/>
          <w:spacing w:val="0"/>
          <w:sz w:val="21"/>
          <w:szCs w:val="21"/>
          <w:shd w:val="clear" w:fill="FFFFFF"/>
        </w:rPr>
        <w:t>入学资格复查</w:t>
      </w:r>
    </w:p>
    <w:p w14:paraId="053787B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0" w:lineRule="atLeast"/>
        <w:ind w:left="0" w:right="0" w:firstLine="430"/>
        <w:jc w:val="both"/>
        <w:rPr>
          <w:rFonts w:hint="default" w:ascii="PingFang400" w:hAnsi="PingFang400" w:eastAsia="PingFang400" w:cs="PingFang400"/>
        </w:rPr>
      </w:pPr>
      <w:r>
        <w:rPr>
          <w:rFonts w:hint="default" w:ascii="PingFang400" w:hAnsi="PingFang400" w:eastAsia="PingFang400" w:cs="PingFang400"/>
          <w:color w:val="333333"/>
          <w:sz w:val="21"/>
          <w:szCs w:val="21"/>
          <w:shd w:val="clear" w:fill="FFFFFF"/>
        </w:rPr>
        <w:t>新生入学后，学校按照国家招生规定在三个月内进行复查。复查不合格者，由学校区别情况，予以处理，直至取消入学资格。</w:t>
      </w:r>
    </w:p>
    <w:p w14:paraId="5BADF05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0" w:lineRule="atLeast"/>
        <w:ind w:left="0" w:right="0" w:firstLine="430"/>
        <w:jc w:val="both"/>
        <w:rPr>
          <w:rFonts w:hint="default" w:ascii="PingFang400" w:hAnsi="PingFang400" w:eastAsia="PingFang400" w:cs="PingFang400"/>
        </w:rPr>
      </w:pPr>
      <w:r>
        <w:rPr>
          <w:rStyle w:val="6"/>
          <w:rFonts w:hint="default" w:ascii="PingFang400" w:hAnsi="PingFang400" w:eastAsia="PingFang400" w:cs="PingFang400"/>
          <w:color w:val="333333"/>
          <w:sz w:val="21"/>
          <w:szCs w:val="21"/>
          <w:shd w:val="clear" w:fill="FFFFFF"/>
        </w:rPr>
        <w:t>第二十四条 学籍管理</w:t>
      </w:r>
    </w:p>
    <w:p w14:paraId="0DCD943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0" w:lineRule="atLeast"/>
        <w:ind w:left="0" w:right="0" w:firstLine="430"/>
        <w:jc w:val="both"/>
        <w:rPr>
          <w:rFonts w:hint="default" w:ascii="PingFang400" w:hAnsi="PingFang400" w:eastAsia="PingFang400" w:cs="PingFang400"/>
        </w:rPr>
      </w:pPr>
      <w:r>
        <w:rPr>
          <w:rFonts w:hint="default" w:ascii="PingFang400" w:hAnsi="PingFang400" w:eastAsia="PingFang400" w:cs="PingFang400"/>
          <w:color w:val="333333"/>
          <w:sz w:val="21"/>
          <w:szCs w:val="21"/>
          <w:shd w:val="clear" w:fill="FFFFFF"/>
        </w:rPr>
        <w:t>学生入学后不允许转学、转专业。毕业时发全日制普通本科毕业证书，文凭表述为“在本校XX专业专科起点本科学习”，学习时间按进入本科阶段学习的实际时间填写，符合学位授予条件的授予学士学位。</w:t>
      </w:r>
    </w:p>
    <w:p w14:paraId="0414659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0" w:lineRule="atLeast"/>
        <w:ind w:left="0" w:right="0" w:firstLine="430"/>
        <w:jc w:val="both"/>
        <w:rPr>
          <w:rFonts w:hint="default" w:ascii="PingFang400" w:hAnsi="PingFang400" w:eastAsia="PingFang400" w:cs="PingFang400"/>
        </w:rPr>
      </w:pPr>
    </w:p>
    <w:p w14:paraId="6340038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0" w:lineRule="atLeast"/>
        <w:ind w:left="0" w:right="0" w:firstLine="420"/>
        <w:jc w:val="center"/>
        <w:rPr>
          <w:rFonts w:hint="default" w:ascii="PingFang400" w:hAnsi="PingFang400" w:eastAsia="PingFang400" w:cs="PingFang400"/>
        </w:rPr>
      </w:pPr>
      <w:r>
        <w:rPr>
          <w:rStyle w:val="6"/>
          <w:rFonts w:hint="default" w:ascii="PingFang400" w:hAnsi="PingFang400" w:eastAsia="PingFang400" w:cs="PingFang400"/>
          <w:color w:val="333333"/>
          <w:sz w:val="21"/>
          <w:szCs w:val="21"/>
          <w:shd w:val="clear" w:fill="FFFFFF"/>
        </w:rPr>
        <w:t>第十章</w:t>
      </w:r>
      <w:r>
        <w:rPr>
          <w:rStyle w:val="6"/>
          <w:rFonts w:hint="default" w:ascii="PingFang400" w:hAnsi="PingFang400" w:eastAsia="PingFang400" w:cs="PingFang400"/>
          <w:color w:val="333333"/>
          <w:shd w:val="clear" w:fill="FFFFFF"/>
        </w:rPr>
        <w:t> </w:t>
      </w:r>
      <w:r>
        <w:rPr>
          <w:rStyle w:val="6"/>
          <w:rFonts w:hint="default" w:ascii="PingFang400" w:hAnsi="PingFang400" w:eastAsia="PingFang400" w:cs="PingFang400"/>
          <w:color w:val="333333"/>
          <w:sz w:val="21"/>
          <w:szCs w:val="21"/>
          <w:shd w:val="clear" w:fill="FFFFFF"/>
        </w:rPr>
        <w:t>监督机</w:t>
      </w:r>
      <w:r>
        <w:rPr>
          <w:rFonts w:hint="default" w:ascii="PingFang400" w:hAnsi="PingFang400" w:eastAsia="PingFang400" w:cs="PingFang400"/>
          <w:color w:val="333333"/>
          <w:sz w:val="21"/>
          <w:szCs w:val="21"/>
          <w:shd w:val="clear" w:fill="FFFFFF"/>
        </w:rPr>
        <w:t>制</w:t>
      </w:r>
    </w:p>
    <w:p w14:paraId="65AD598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0" w:lineRule="atLeast"/>
        <w:ind w:left="0" w:right="100" w:firstLine="430"/>
        <w:jc w:val="both"/>
        <w:rPr>
          <w:rFonts w:hint="default" w:ascii="PingFang400" w:hAnsi="PingFang400" w:eastAsia="PingFang400" w:cs="PingFang400"/>
        </w:rPr>
      </w:pPr>
      <w:r>
        <w:rPr>
          <w:rStyle w:val="6"/>
          <w:rFonts w:hint="default" w:ascii="PingFang400" w:hAnsi="PingFang400" w:eastAsia="PingFang400" w:cs="PingFang400"/>
          <w:color w:val="333333"/>
          <w:sz w:val="21"/>
          <w:szCs w:val="21"/>
          <w:shd w:val="clear" w:fill="FFFFFF"/>
        </w:rPr>
        <w:t>第二十五条</w:t>
      </w:r>
      <w:r>
        <w:rPr>
          <w:rFonts w:hint="default" w:ascii="PingFang400" w:hAnsi="PingFang400" w:eastAsia="PingFang400" w:cs="PingFang400"/>
          <w:color w:val="333333"/>
          <w:sz w:val="21"/>
          <w:szCs w:val="21"/>
          <w:shd w:val="clear" w:fill="FFFFFF"/>
        </w:rPr>
        <w:t> 学校不委托任何中介机构或个人进行招生录取工作，不收取国家规定外的任何费用。任何以“台州学院”名义进行非法招生宣传等活动的中介机构或个人，学校保留依法追究其责任的权利。</w:t>
      </w:r>
    </w:p>
    <w:p w14:paraId="7C5E59D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0" w:lineRule="atLeast"/>
        <w:ind w:left="0" w:right="0" w:firstLine="430"/>
        <w:jc w:val="both"/>
        <w:rPr>
          <w:rFonts w:hint="default" w:ascii="PingFang400" w:hAnsi="PingFang400" w:eastAsia="PingFang400" w:cs="PingFang400"/>
        </w:rPr>
      </w:pPr>
      <w:r>
        <w:rPr>
          <w:rStyle w:val="6"/>
          <w:rFonts w:hint="default" w:ascii="PingFang400" w:hAnsi="PingFang400" w:eastAsia="PingFang400" w:cs="PingFang400"/>
          <w:color w:val="333333"/>
          <w:sz w:val="21"/>
          <w:szCs w:val="21"/>
          <w:shd w:val="clear" w:fill="FFFFFF"/>
        </w:rPr>
        <w:t>第二十六条</w:t>
      </w:r>
      <w:r>
        <w:rPr>
          <w:rFonts w:hint="default" w:ascii="PingFang400" w:hAnsi="PingFang400" w:eastAsia="PingFang400" w:cs="PingFang400"/>
          <w:color w:val="333333"/>
          <w:shd w:val="clear" w:fill="FFFFFF"/>
        </w:rPr>
        <w:t> </w:t>
      </w:r>
      <w:r>
        <w:rPr>
          <w:rFonts w:hint="default" w:ascii="PingFang400" w:hAnsi="PingFang400" w:eastAsia="PingFang400" w:cs="PingFang400"/>
          <w:color w:val="333333"/>
          <w:sz w:val="21"/>
          <w:szCs w:val="21"/>
          <w:shd w:val="clear" w:fill="FFFFFF"/>
        </w:rPr>
        <w:t>学校纪检监察室对招生工作实施全程监督，确保招生工作的公开、公平、公正。监督电话：0576-88665794。</w:t>
      </w:r>
    </w:p>
    <w:p w14:paraId="16C37FD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0" w:lineRule="atLeast"/>
        <w:ind w:left="0" w:right="0" w:firstLine="430"/>
        <w:jc w:val="both"/>
        <w:rPr>
          <w:rFonts w:hint="default" w:ascii="PingFang400" w:hAnsi="PingFang400" w:eastAsia="PingFang400" w:cs="PingFang400"/>
        </w:rPr>
      </w:pPr>
    </w:p>
    <w:p w14:paraId="609CFBF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firstLine="420"/>
        <w:jc w:val="center"/>
        <w:rPr>
          <w:rFonts w:hint="default" w:ascii="PingFang400" w:hAnsi="PingFang400" w:eastAsia="PingFang400" w:cs="PingFang400"/>
        </w:rPr>
      </w:pPr>
      <w:r>
        <w:rPr>
          <w:rStyle w:val="6"/>
          <w:rFonts w:hint="default" w:ascii="PingFang400" w:hAnsi="PingFang400" w:eastAsia="PingFang400" w:cs="PingFang400"/>
          <w:color w:val="333333"/>
          <w:sz w:val="21"/>
          <w:szCs w:val="21"/>
        </w:rPr>
        <w:t>第十一章</w:t>
      </w:r>
      <w:r>
        <w:rPr>
          <w:rStyle w:val="6"/>
          <w:rFonts w:hint="default" w:ascii="PingFang400" w:hAnsi="PingFang400" w:eastAsia="PingFang400" w:cs="PingFang400"/>
          <w:color w:val="333333"/>
        </w:rPr>
        <w:t>  </w:t>
      </w:r>
      <w:r>
        <w:rPr>
          <w:rStyle w:val="6"/>
          <w:rFonts w:hint="default" w:ascii="PingFang400" w:hAnsi="PingFang400" w:eastAsia="PingFang400" w:cs="PingFang400"/>
          <w:color w:val="333333"/>
          <w:sz w:val="21"/>
          <w:szCs w:val="21"/>
        </w:rPr>
        <w:t>附则</w:t>
      </w:r>
    </w:p>
    <w:p w14:paraId="5A74C1D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0" w:lineRule="atLeast"/>
        <w:ind w:left="0" w:right="0" w:firstLine="430"/>
        <w:jc w:val="both"/>
        <w:rPr>
          <w:rFonts w:hint="default" w:ascii="PingFang400" w:hAnsi="PingFang400" w:eastAsia="PingFang400" w:cs="PingFang400"/>
        </w:rPr>
      </w:pPr>
      <w:r>
        <w:rPr>
          <w:rStyle w:val="6"/>
          <w:rFonts w:hint="default" w:ascii="PingFang400" w:hAnsi="PingFang400" w:eastAsia="PingFang400" w:cs="PingFang400"/>
          <w:color w:val="333333"/>
          <w:sz w:val="21"/>
          <w:szCs w:val="21"/>
          <w:shd w:val="clear" w:fill="FFFFFF"/>
        </w:rPr>
        <w:t>第二十七条 </w:t>
      </w:r>
      <w:r>
        <w:rPr>
          <w:rFonts w:hint="default" w:ascii="PingFang400" w:hAnsi="PingFang400" w:eastAsia="PingFang400" w:cs="PingFang400"/>
          <w:color w:val="333333"/>
          <w:sz w:val="21"/>
          <w:szCs w:val="21"/>
          <w:shd w:val="clear" w:fill="FFFFFF"/>
        </w:rPr>
        <w:t>根据中华人民共和国教育部令（第36号），考生有下列情形之一的，如实记入其考试诚信档案：</w:t>
      </w:r>
    </w:p>
    <w:p w14:paraId="5101184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0" w:lineRule="atLeast"/>
        <w:ind w:left="0" w:right="0" w:firstLine="430"/>
        <w:jc w:val="both"/>
        <w:rPr>
          <w:rFonts w:hint="default" w:ascii="PingFang400" w:hAnsi="PingFang400" w:eastAsia="PingFang400" w:cs="PingFang400"/>
        </w:rPr>
      </w:pPr>
      <w:r>
        <w:rPr>
          <w:rFonts w:hint="default" w:ascii="PingFang400" w:hAnsi="PingFang400" w:eastAsia="PingFang400" w:cs="PingFang400"/>
          <w:color w:val="333333"/>
          <w:sz w:val="21"/>
          <w:szCs w:val="21"/>
          <w:shd w:val="clear" w:fill="FFFFFF"/>
        </w:rPr>
        <w:t>（一）提供虚假姓名、年龄、民族、户籍等个人信息，伪造、非法获得证件、成绩证明、荣誉证书等，骗取报名资格、享受优惠政策的。</w:t>
      </w:r>
    </w:p>
    <w:p w14:paraId="46ED596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0" w:lineRule="atLeast"/>
        <w:ind w:left="0" w:right="0" w:firstLine="430"/>
        <w:jc w:val="both"/>
        <w:rPr>
          <w:rFonts w:hint="default" w:ascii="PingFang400" w:hAnsi="PingFang400" w:eastAsia="PingFang400" w:cs="PingFang400"/>
        </w:rPr>
      </w:pPr>
      <w:r>
        <w:rPr>
          <w:rFonts w:hint="default" w:ascii="PingFang400" w:hAnsi="PingFang400" w:eastAsia="PingFang400" w:cs="PingFang400"/>
          <w:color w:val="333333"/>
          <w:sz w:val="21"/>
          <w:szCs w:val="21"/>
          <w:shd w:val="clear" w:fill="FFFFFF"/>
        </w:rPr>
        <w:t>（二）在综合素质评价、相关申请材料中提供虚假材料、影响录取结果的。</w:t>
      </w:r>
    </w:p>
    <w:p w14:paraId="38DA478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0" w:lineRule="atLeast"/>
        <w:ind w:left="0" w:right="0" w:firstLine="430"/>
        <w:jc w:val="both"/>
        <w:rPr>
          <w:rFonts w:hint="default" w:ascii="PingFang400" w:hAnsi="PingFang400" w:eastAsia="PingFang400" w:cs="PingFang400"/>
        </w:rPr>
      </w:pPr>
      <w:r>
        <w:rPr>
          <w:rFonts w:hint="default" w:ascii="PingFang400" w:hAnsi="PingFang400" w:eastAsia="PingFang400" w:cs="PingFang400"/>
          <w:color w:val="333333"/>
          <w:sz w:val="21"/>
          <w:szCs w:val="21"/>
          <w:shd w:val="clear" w:fill="FFFFFF"/>
        </w:rPr>
        <w:t>（三）冒名顶替入学，由他人替考入学或者取得优惠资格的。</w:t>
      </w:r>
    </w:p>
    <w:p w14:paraId="42D5350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0" w:lineRule="atLeast"/>
        <w:ind w:left="0" w:right="0" w:firstLine="430"/>
        <w:jc w:val="both"/>
        <w:rPr>
          <w:rFonts w:hint="default" w:ascii="PingFang400" w:hAnsi="PingFang400" w:eastAsia="PingFang400" w:cs="PingFang400"/>
        </w:rPr>
      </w:pPr>
      <w:r>
        <w:rPr>
          <w:rFonts w:hint="default" w:ascii="PingFang400" w:hAnsi="PingFang400" w:eastAsia="PingFang400" w:cs="PingFang400"/>
          <w:color w:val="333333"/>
          <w:sz w:val="21"/>
          <w:szCs w:val="21"/>
          <w:shd w:val="clear" w:fill="FFFFFF"/>
        </w:rPr>
        <w:t>（四）其他严重违反高校招生规定的弄虚作假行为。</w:t>
      </w:r>
    </w:p>
    <w:p w14:paraId="2749354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0" w:lineRule="atLeast"/>
        <w:ind w:left="0" w:right="0" w:firstLine="430"/>
        <w:jc w:val="both"/>
        <w:rPr>
          <w:rFonts w:hint="default" w:ascii="PingFang400" w:hAnsi="PingFang400" w:eastAsia="PingFang400" w:cs="PingFang400"/>
        </w:rPr>
      </w:pPr>
      <w:r>
        <w:rPr>
          <w:rFonts w:hint="default" w:ascii="PingFang400" w:hAnsi="PingFang400" w:eastAsia="PingFang400" w:cs="PingFang400"/>
          <w:color w:val="333333"/>
          <w:sz w:val="21"/>
          <w:szCs w:val="21"/>
          <w:shd w:val="clear" w:fill="FFFFFF"/>
        </w:rPr>
        <w:t>上述行为在报名阶段发现的，取消报考资格；在入学前发现的，取消入学资格；入学后发现的，取消录取资格或者学籍；毕业后发现的，由教育行政部门宣布学历、学位证书无效，责令收回或者予以没收；涉嫌犯罪的，依法移送司法机关处理。</w:t>
      </w:r>
    </w:p>
    <w:p w14:paraId="4D4AB99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0" w:lineRule="atLeast"/>
        <w:ind w:left="0" w:right="0" w:firstLine="430"/>
        <w:jc w:val="both"/>
        <w:rPr>
          <w:rFonts w:hint="default" w:ascii="PingFang400" w:hAnsi="PingFang400" w:eastAsia="PingFang400" w:cs="PingFang400"/>
        </w:rPr>
      </w:pPr>
      <w:r>
        <w:rPr>
          <w:rStyle w:val="6"/>
          <w:rFonts w:hint="default" w:ascii="PingFang400" w:hAnsi="PingFang400" w:eastAsia="PingFang400" w:cs="PingFang400"/>
          <w:color w:val="333333"/>
          <w:sz w:val="21"/>
          <w:szCs w:val="21"/>
          <w:shd w:val="clear" w:fill="FFFFFF"/>
        </w:rPr>
        <w:t>第二十八条 </w:t>
      </w:r>
      <w:r>
        <w:rPr>
          <w:rFonts w:hint="default" w:ascii="PingFang400" w:hAnsi="PingFang400" w:eastAsia="PingFang400" w:cs="PingFang400"/>
          <w:color w:val="333333"/>
          <w:sz w:val="21"/>
          <w:szCs w:val="21"/>
          <w:shd w:val="clear" w:fill="FFFFFF"/>
        </w:rPr>
        <w:t>如遇重大突发情况，学校将视情况保留对考核方式、考核内容、考试时间、地点等调整的权利。如有变动，另行通知。</w:t>
      </w:r>
    </w:p>
    <w:p w14:paraId="6BA7B17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0" w:lineRule="atLeast"/>
        <w:ind w:left="0" w:right="0" w:firstLine="430"/>
        <w:jc w:val="both"/>
        <w:rPr>
          <w:rFonts w:hint="default" w:ascii="PingFang400" w:hAnsi="PingFang400" w:eastAsia="PingFang400" w:cs="PingFang400"/>
        </w:rPr>
      </w:pPr>
      <w:r>
        <w:rPr>
          <w:rStyle w:val="6"/>
          <w:rFonts w:hint="default" w:ascii="PingFang400" w:hAnsi="PingFang400" w:eastAsia="PingFang400" w:cs="PingFang400"/>
          <w:color w:val="333333"/>
          <w:sz w:val="21"/>
          <w:szCs w:val="21"/>
          <w:shd w:val="clear" w:fill="FFFFFF"/>
        </w:rPr>
        <w:t>第二十九条 学校联系方式</w:t>
      </w:r>
    </w:p>
    <w:p w14:paraId="7331270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60" w:afterAutospacing="0" w:line="390" w:lineRule="atLeast"/>
        <w:ind w:left="0" w:right="0" w:firstLine="430"/>
        <w:jc w:val="both"/>
        <w:rPr>
          <w:rFonts w:hint="default" w:ascii="PingFang400" w:hAnsi="PingFang400" w:eastAsia="PingFang400" w:cs="PingFang400"/>
        </w:rPr>
      </w:pPr>
      <w:r>
        <w:rPr>
          <w:rFonts w:hint="default" w:ascii="PingFang400" w:hAnsi="PingFang400" w:eastAsia="PingFang400" w:cs="PingFang400"/>
          <w:color w:val="333333"/>
          <w:sz w:val="21"/>
          <w:szCs w:val="21"/>
          <w:shd w:val="clear" w:fill="FFFFFF"/>
        </w:rPr>
        <w:t>地址：浙江省台州市市府大道1139号（邮编：318000）</w:t>
      </w:r>
    </w:p>
    <w:p w14:paraId="02ADB40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60" w:afterAutospacing="0" w:line="390" w:lineRule="atLeast"/>
        <w:ind w:left="0" w:right="0" w:firstLine="430"/>
        <w:jc w:val="both"/>
        <w:rPr>
          <w:rFonts w:hint="default" w:ascii="PingFang400" w:hAnsi="PingFang400" w:eastAsia="PingFang400" w:cs="PingFang400"/>
        </w:rPr>
      </w:pPr>
      <w:r>
        <w:rPr>
          <w:rFonts w:hint="default" w:ascii="PingFang400" w:hAnsi="PingFang400" w:eastAsia="PingFang400" w:cs="PingFang400"/>
          <w:color w:val="333333"/>
          <w:sz w:val="21"/>
          <w:szCs w:val="21"/>
          <w:shd w:val="clear" w:fill="FFFFFF"/>
        </w:rPr>
        <w:t>咨询电话：0576-88669696</w:t>
      </w:r>
    </w:p>
    <w:p w14:paraId="7A96A56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60" w:afterAutospacing="0" w:line="390" w:lineRule="atLeast"/>
        <w:ind w:left="0" w:right="0" w:firstLine="430"/>
        <w:jc w:val="both"/>
        <w:rPr>
          <w:rFonts w:hint="default" w:ascii="PingFang400" w:hAnsi="PingFang400" w:eastAsia="PingFang400" w:cs="PingFang400"/>
        </w:rPr>
      </w:pPr>
      <w:r>
        <w:rPr>
          <w:rFonts w:hint="default" w:ascii="PingFang400" w:hAnsi="PingFang400" w:eastAsia="PingFang400" w:cs="PingFang400"/>
          <w:color w:val="333333"/>
          <w:sz w:val="21"/>
          <w:szCs w:val="21"/>
          <w:shd w:val="clear" w:fill="FFFFFF"/>
        </w:rPr>
        <w:t>监督电话：0576-88665794</w:t>
      </w:r>
    </w:p>
    <w:p w14:paraId="6979E86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60" w:afterAutospacing="0" w:line="390" w:lineRule="atLeast"/>
        <w:ind w:left="0" w:right="0" w:firstLine="430"/>
        <w:jc w:val="both"/>
        <w:rPr>
          <w:rFonts w:hint="default" w:ascii="PingFang400" w:hAnsi="PingFang400" w:eastAsia="PingFang400" w:cs="PingFang400"/>
        </w:rPr>
      </w:pPr>
      <w:r>
        <w:rPr>
          <w:rFonts w:hint="default" w:ascii="PingFang400" w:hAnsi="PingFang400" w:eastAsia="PingFang400" w:cs="PingFang400"/>
          <w:color w:val="333333"/>
          <w:sz w:val="21"/>
          <w:szCs w:val="21"/>
          <w:shd w:val="clear" w:fill="FFFFFF"/>
        </w:rPr>
        <w:t>学校网址：https://www.tzc.edu.cn/</w:t>
      </w:r>
    </w:p>
    <w:p w14:paraId="6A4A5A0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60" w:afterAutospacing="0" w:line="390" w:lineRule="atLeast"/>
        <w:ind w:left="0" w:right="0" w:firstLine="430"/>
        <w:jc w:val="both"/>
        <w:rPr>
          <w:rFonts w:hint="default" w:ascii="PingFang400" w:hAnsi="PingFang400" w:eastAsia="PingFang400" w:cs="PingFang400"/>
        </w:rPr>
      </w:pPr>
      <w:r>
        <w:rPr>
          <w:rFonts w:hint="default" w:ascii="PingFang400" w:hAnsi="PingFang400" w:eastAsia="PingFang400" w:cs="PingFang400"/>
          <w:color w:val="333333"/>
          <w:sz w:val="21"/>
          <w:szCs w:val="21"/>
          <w:shd w:val="clear" w:fill="FFFFFF"/>
        </w:rPr>
        <w:t>本科招生网：</w:t>
      </w:r>
      <w:r>
        <w:rPr>
          <w:rFonts w:hint="default" w:ascii="PingFang400" w:hAnsi="PingFang400" w:eastAsia="PingFang400" w:cs="PingFang400"/>
          <w:color w:val="2196F3"/>
          <w:u w:val="none"/>
          <w:shd w:val="clear" w:fill="FFFFFF"/>
        </w:rPr>
        <w:fldChar w:fldCharType="begin"/>
      </w:r>
      <w:r>
        <w:rPr>
          <w:rFonts w:hint="default" w:ascii="PingFang400" w:hAnsi="PingFang400" w:eastAsia="PingFang400" w:cs="PingFang400"/>
          <w:color w:val="2196F3"/>
          <w:u w:val="none"/>
          <w:shd w:val="clear" w:fill="FFFFFF"/>
        </w:rPr>
        <w:instrText xml:space="preserve"> HYPERLINK "https://zs.tzc.edu.cn/" </w:instrText>
      </w:r>
      <w:r>
        <w:rPr>
          <w:rFonts w:hint="default" w:ascii="PingFang400" w:hAnsi="PingFang400" w:eastAsia="PingFang400" w:cs="PingFang400"/>
          <w:color w:val="2196F3"/>
          <w:u w:val="none"/>
          <w:shd w:val="clear" w:fill="FFFFFF"/>
        </w:rPr>
        <w:fldChar w:fldCharType="separate"/>
      </w:r>
      <w:r>
        <w:rPr>
          <w:rStyle w:val="7"/>
          <w:rFonts w:hint="default" w:ascii="PingFang400" w:hAnsi="PingFang400" w:eastAsia="PingFang400" w:cs="PingFang400"/>
          <w:color w:val="2196F3"/>
          <w:sz w:val="21"/>
          <w:szCs w:val="21"/>
          <w:u w:val="none"/>
          <w:shd w:val="clear" w:fill="FFFFFF"/>
        </w:rPr>
        <w:t>https://zs.tzc.edu.cn/</w:t>
      </w:r>
      <w:r>
        <w:rPr>
          <w:rFonts w:hint="default" w:ascii="PingFang400" w:hAnsi="PingFang400" w:eastAsia="PingFang400" w:cs="PingFang400"/>
          <w:color w:val="2196F3"/>
          <w:u w:val="none"/>
          <w:shd w:val="clear" w:fill="FFFFFF"/>
        </w:rPr>
        <w:fldChar w:fldCharType="end"/>
      </w:r>
    </w:p>
    <w:p w14:paraId="7664492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60" w:afterAutospacing="0" w:line="390" w:lineRule="atLeast"/>
        <w:ind w:left="0" w:right="0" w:firstLine="430"/>
        <w:jc w:val="both"/>
        <w:rPr>
          <w:rFonts w:hint="default" w:ascii="PingFang400" w:hAnsi="PingFang400" w:eastAsia="PingFang400" w:cs="PingFang400"/>
        </w:rPr>
      </w:pPr>
      <w:r>
        <w:rPr>
          <w:rFonts w:hint="default" w:ascii="PingFang400" w:hAnsi="PingFang400" w:eastAsia="PingFang400" w:cs="PingFang400"/>
          <w:color w:val="333333"/>
          <w:sz w:val="21"/>
          <w:szCs w:val="21"/>
          <w:shd w:val="clear" w:fill="FFFFFF"/>
        </w:rPr>
        <w:t>微信公众号：台州学院招生</w:t>
      </w:r>
    </w:p>
    <w:p w14:paraId="7081A80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firstLine="430"/>
        <w:jc w:val="both"/>
        <w:rPr>
          <w:rFonts w:hint="default" w:ascii="PingFang400" w:hAnsi="PingFang400" w:eastAsia="PingFang400" w:cs="PingFang400"/>
        </w:rPr>
      </w:pPr>
      <w:r>
        <w:rPr>
          <w:rStyle w:val="6"/>
          <w:rFonts w:hint="default" w:ascii="PingFang400" w:hAnsi="PingFang400" w:eastAsia="PingFang400" w:cs="PingFang400"/>
          <w:color w:val="333333"/>
          <w:sz w:val="21"/>
          <w:szCs w:val="21"/>
        </w:rPr>
        <w:t>第三十条</w:t>
      </w:r>
      <w:r>
        <w:rPr>
          <w:rFonts w:hint="default" w:ascii="PingFang400" w:hAnsi="PingFang400" w:eastAsia="PingFang400" w:cs="PingFang400"/>
          <w:color w:val="333333"/>
          <w:sz w:val="21"/>
          <w:szCs w:val="21"/>
        </w:rPr>
        <w:t> 未尽事宜参照《浙江省2025年退役大学生士兵免试专升本招生工作实施办法》相关规定执行。</w:t>
      </w:r>
    </w:p>
    <w:p w14:paraId="17A4CB2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firstLine="430"/>
        <w:jc w:val="both"/>
        <w:rPr>
          <w:rFonts w:hint="default" w:ascii="PingFang400" w:hAnsi="PingFang400" w:eastAsia="PingFang400" w:cs="PingFang400"/>
        </w:rPr>
      </w:pPr>
      <w:r>
        <w:rPr>
          <w:rStyle w:val="6"/>
          <w:rFonts w:hint="default" w:ascii="PingFang400" w:hAnsi="PingFang400" w:eastAsia="PingFang400" w:cs="PingFang400"/>
          <w:color w:val="333333"/>
          <w:sz w:val="21"/>
          <w:szCs w:val="21"/>
        </w:rPr>
        <w:t>第三十一条</w:t>
      </w:r>
      <w:r>
        <w:rPr>
          <w:rFonts w:hint="default" w:ascii="PingFang400" w:hAnsi="PingFang400" w:eastAsia="PingFang400" w:cs="PingFang400"/>
          <w:color w:val="333333"/>
        </w:rPr>
        <w:t> </w:t>
      </w:r>
      <w:r>
        <w:rPr>
          <w:rFonts w:hint="default" w:ascii="PingFang400" w:hAnsi="PingFang400" w:eastAsia="PingFang400" w:cs="PingFang400"/>
          <w:color w:val="333333"/>
          <w:sz w:val="21"/>
          <w:szCs w:val="21"/>
        </w:rPr>
        <w:t>本简章自公布之日起执行，由学校教务处（招生办公室）负责解释。若有与国家和上级有关政策不一致的，以国家和上级有关政策为准。</w:t>
      </w:r>
    </w:p>
    <w:p w14:paraId="4A8A911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firstLine="0"/>
        <w:jc w:val="both"/>
        <w:rPr>
          <w:rFonts w:hint="default" w:ascii="PingFang400" w:hAnsi="PingFang400" w:eastAsia="PingFang400" w:cs="PingFang400"/>
        </w:rPr>
      </w:pPr>
      <w:r>
        <w:rPr>
          <w:rFonts w:hint="default" w:ascii="PingFang400" w:hAnsi="PingFang400" w:eastAsia="PingFang400" w:cs="PingFang400"/>
          <w:color w:val="333333"/>
          <w:sz w:val="21"/>
          <w:szCs w:val="21"/>
        </w:rPr>
        <w:br w:type="textWrapping"/>
      </w:r>
      <w:r>
        <w:rPr>
          <w:rFonts w:hint="default" w:ascii="PingFang400" w:hAnsi="PingFang400" w:eastAsia="PingFang400" w:cs="PingFang400"/>
          <w:color w:val="333333"/>
          <w:sz w:val="21"/>
          <w:szCs w:val="21"/>
        </w:rPr>
        <w:t>附表：</w:t>
      </w:r>
    </w:p>
    <w:p w14:paraId="4939010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firstLine="0"/>
        <w:jc w:val="center"/>
        <w:rPr>
          <w:rFonts w:hint="default" w:ascii="PingFang400" w:hAnsi="PingFang400" w:eastAsia="PingFang400" w:cs="PingFang400"/>
        </w:rPr>
      </w:pPr>
      <w:r>
        <w:rPr>
          <w:rStyle w:val="6"/>
          <w:rFonts w:hint="default" w:ascii="PingFang400" w:hAnsi="PingFang400" w:eastAsia="PingFang400" w:cs="PingFang400"/>
          <w:color w:val="333333"/>
          <w:sz w:val="21"/>
          <w:szCs w:val="21"/>
        </w:rPr>
        <w:t>台州学院2025年退役大学生</w:t>
      </w:r>
      <w:bookmarkStart w:id="0" w:name="_GoBack"/>
      <w:bookmarkEnd w:id="0"/>
      <w:r>
        <w:rPr>
          <w:rStyle w:val="6"/>
          <w:rFonts w:hint="default" w:ascii="PingFang400" w:hAnsi="PingFang400" w:eastAsia="PingFang400" w:cs="PingFang400"/>
          <w:color w:val="333333"/>
          <w:sz w:val="21"/>
          <w:szCs w:val="21"/>
        </w:rPr>
        <w:t>免试专升本招生计划</w:t>
      </w:r>
    </w:p>
    <w:tbl>
      <w:tblPr>
        <w:tblStyle w:val="4"/>
        <w:tblW w:w="106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50"/>
        <w:gridCol w:w="1178"/>
        <w:gridCol w:w="560"/>
        <w:gridCol w:w="930"/>
        <w:gridCol w:w="7540"/>
      </w:tblGrid>
      <w:tr w14:paraId="5AE19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0" w:hRule="atLeast"/>
        </w:trPr>
        <w:tc>
          <w:tcPr>
            <w:tcW w:w="450" w:type="dxa"/>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51FC049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firstLine="0"/>
              <w:jc w:val="center"/>
              <w:textAlignment w:val="center"/>
              <w:rPr>
                <w:rFonts w:hint="default" w:ascii="PingFang400" w:hAnsi="PingFang400" w:eastAsia="PingFang400" w:cs="PingFang400"/>
                <w:color w:val="FF0000"/>
              </w:rPr>
            </w:pPr>
            <w:r>
              <w:rPr>
                <w:rFonts w:hint="default" w:ascii="PingFang400" w:hAnsi="PingFang400" w:eastAsia="PingFang400" w:cs="PingFang400"/>
                <w:color w:val="FF0000"/>
                <w:sz w:val="14"/>
                <w:szCs w:val="14"/>
              </w:rPr>
              <w:t>招生类别</w:t>
            </w:r>
          </w:p>
        </w:tc>
        <w:tc>
          <w:tcPr>
            <w:tcW w:w="1178" w:type="dxa"/>
            <w:vMerge w:val="restart"/>
            <w:tcBorders>
              <w:top w:val="single" w:color="000000" w:sz="4" w:space="0"/>
              <w:left w:val="nil"/>
              <w:bottom w:val="single" w:color="000000" w:sz="4" w:space="0"/>
              <w:right w:val="single" w:color="000000" w:sz="4" w:space="0"/>
            </w:tcBorders>
            <w:shd w:val="clear" w:color="auto" w:fill="FFFFFF"/>
            <w:tcMar>
              <w:top w:w="0" w:type="dxa"/>
              <w:left w:w="70" w:type="dxa"/>
              <w:bottom w:w="0" w:type="dxa"/>
              <w:right w:w="70" w:type="dxa"/>
            </w:tcMar>
            <w:vAlign w:val="center"/>
          </w:tcPr>
          <w:p w14:paraId="0CC4C3B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firstLine="0"/>
              <w:jc w:val="center"/>
              <w:textAlignment w:val="center"/>
              <w:rPr>
                <w:rFonts w:hint="default" w:ascii="PingFang400" w:hAnsi="PingFang400" w:eastAsia="PingFang400" w:cs="PingFang400"/>
                <w:color w:val="FF0000"/>
              </w:rPr>
            </w:pPr>
            <w:r>
              <w:rPr>
                <w:rFonts w:hint="default" w:ascii="PingFang400" w:hAnsi="PingFang400" w:eastAsia="PingFang400" w:cs="PingFang400"/>
                <w:color w:val="FF0000"/>
                <w:sz w:val="14"/>
                <w:szCs w:val="14"/>
              </w:rPr>
              <w:t>专业名称</w:t>
            </w:r>
          </w:p>
        </w:tc>
        <w:tc>
          <w:tcPr>
            <w:tcW w:w="560" w:type="dxa"/>
            <w:vMerge w:val="restart"/>
            <w:tcBorders>
              <w:top w:val="single" w:color="000000" w:sz="4" w:space="0"/>
              <w:left w:val="nil"/>
              <w:bottom w:val="single" w:color="000000" w:sz="4" w:space="0"/>
              <w:right w:val="single" w:color="000000" w:sz="4" w:space="0"/>
            </w:tcBorders>
            <w:shd w:val="clear" w:color="auto" w:fill="FFFFFF"/>
            <w:tcMar>
              <w:top w:w="0" w:type="dxa"/>
              <w:left w:w="70" w:type="dxa"/>
              <w:bottom w:w="0" w:type="dxa"/>
              <w:right w:w="70" w:type="dxa"/>
            </w:tcMar>
            <w:vAlign w:val="center"/>
          </w:tcPr>
          <w:p w14:paraId="24FD361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firstLine="0"/>
              <w:jc w:val="center"/>
              <w:textAlignment w:val="center"/>
              <w:rPr>
                <w:rFonts w:hint="default" w:ascii="PingFang400" w:hAnsi="PingFang400" w:eastAsia="PingFang400" w:cs="PingFang400"/>
                <w:color w:val="FF0000"/>
              </w:rPr>
            </w:pPr>
            <w:r>
              <w:rPr>
                <w:rFonts w:hint="default" w:ascii="PingFang400" w:hAnsi="PingFang400" w:eastAsia="PingFang400" w:cs="PingFang400"/>
                <w:color w:val="FF0000"/>
                <w:sz w:val="14"/>
                <w:szCs w:val="14"/>
              </w:rPr>
              <w:t>计划数</w:t>
            </w:r>
          </w:p>
        </w:tc>
        <w:tc>
          <w:tcPr>
            <w:tcW w:w="930" w:type="dxa"/>
            <w:tcBorders>
              <w:top w:val="single" w:color="000000" w:sz="4" w:space="0"/>
              <w:left w:val="nil"/>
              <w:bottom w:val="single" w:color="000000" w:sz="4" w:space="0"/>
              <w:right w:val="single" w:color="000000" w:sz="4" w:space="0"/>
            </w:tcBorders>
            <w:shd w:val="clear" w:color="auto" w:fill="FFFFFF"/>
            <w:tcMar>
              <w:top w:w="0" w:type="dxa"/>
              <w:left w:w="70" w:type="dxa"/>
              <w:bottom w:w="0" w:type="dxa"/>
              <w:right w:w="70" w:type="dxa"/>
            </w:tcMar>
            <w:vAlign w:val="center"/>
          </w:tcPr>
          <w:p w14:paraId="122E5AD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firstLine="0"/>
              <w:jc w:val="center"/>
              <w:textAlignment w:val="center"/>
              <w:rPr>
                <w:rFonts w:hint="default" w:ascii="PingFang400" w:hAnsi="PingFang400" w:eastAsia="PingFang400" w:cs="PingFang400"/>
                <w:color w:val="FF0000"/>
              </w:rPr>
            </w:pPr>
            <w:r>
              <w:rPr>
                <w:rFonts w:hint="default" w:ascii="PingFang400" w:hAnsi="PingFang400" w:eastAsia="PingFang400" w:cs="PingFang400"/>
                <w:color w:val="FF0000"/>
                <w:sz w:val="14"/>
                <w:szCs w:val="14"/>
              </w:rPr>
              <w:t>学费参考</w:t>
            </w:r>
          </w:p>
        </w:tc>
        <w:tc>
          <w:tcPr>
            <w:tcW w:w="7540" w:type="dxa"/>
            <w:vMerge w:val="restart"/>
            <w:tcBorders>
              <w:top w:val="single" w:color="000000" w:sz="4" w:space="0"/>
              <w:left w:val="nil"/>
              <w:bottom w:val="single" w:color="000000" w:sz="4" w:space="0"/>
              <w:right w:val="single" w:color="000000" w:sz="4" w:space="0"/>
            </w:tcBorders>
            <w:shd w:val="clear" w:color="auto" w:fill="FFFFFF"/>
            <w:tcMar>
              <w:top w:w="0" w:type="dxa"/>
              <w:left w:w="70" w:type="dxa"/>
              <w:bottom w:w="0" w:type="dxa"/>
              <w:right w:w="70" w:type="dxa"/>
            </w:tcMar>
            <w:vAlign w:val="center"/>
          </w:tcPr>
          <w:p w14:paraId="70B950D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firstLine="0"/>
              <w:jc w:val="center"/>
              <w:textAlignment w:val="center"/>
              <w:rPr>
                <w:rFonts w:hint="default" w:ascii="PingFang400" w:hAnsi="PingFang400" w:eastAsia="PingFang400" w:cs="PingFang400"/>
                <w:color w:val="FF0000"/>
              </w:rPr>
            </w:pPr>
            <w:r>
              <w:rPr>
                <w:rFonts w:hint="default" w:ascii="PingFang400" w:hAnsi="PingFang400" w:eastAsia="PingFang400" w:cs="PingFang400"/>
                <w:color w:val="FF0000"/>
                <w:sz w:val="14"/>
                <w:szCs w:val="14"/>
              </w:rPr>
              <w:t>备    注</w:t>
            </w:r>
          </w:p>
        </w:tc>
      </w:tr>
      <w:tr w14:paraId="28C34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7D6F50A4">
            <w:pPr>
              <w:rPr>
                <w:rFonts w:hint="default" w:ascii="PingFang400" w:hAnsi="PingFang400" w:eastAsia="PingFang400" w:cs="PingFang400"/>
                <w:color w:val="FF0000"/>
                <w:sz w:val="24"/>
                <w:szCs w:val="24"/>
              </w:rPr>
            </w:pPr>
          </w:p>
        </w:tc>
        <w:tc>
          <w:tcPr>
            <w:tcW w:w="1178" w:type="dxa"/>
            <w:vMerge w:val="continue"/>
            <w:tcBorders>
              <w:top w:val="single" w:color="000000" w:sz="4" w:space="0"/>
              <w:left w:val="nil"/>
              <w:bottom w:val="single" w:color="000000" w:sz="4" w:space="0"/>
              <w:right w:val="single" w:color="000000" w:sz="4" w:space="0"/>
            </w:tcBorders>
            <w:shd w:val="clear" w:color="auto" w:fill="FFFFFF"/>
            <w:tcMar>
              <w:top w:w="0" w:type="dxa"/>
              <w:left w:w="70" w:type="dxa"/>
              <w:bottom w:w="0" w:type="dxa"/>
              <w:right w:w="70" w:type="dxa"/>
            </w:tcMar>
            <w:vAlign w:val="center"/>
          </w:tcPr>
          <w:p w14:paraId="23CBE9EB">
            <w:pPr>
              <w:rPr>
                <w:rFonts w:hint="default" w:ascii="PingFang400" w:hAnsi="PingFang400" w:eastAsia="PingFang400" w:cs="PingFang400"/>
                <w:color w:val="FF0000"/>
                <w:sz w:val="24"/>
                <w:szCs w:val="24"/>
              </w:rPr>
            </w:pPr>
          </w:p>
        </w:tc>
        <w:tc>
          <w:tcPr>
            <w:tcW w:w="560" w:type="dxa"/>
            <w:vMerge w:val="continue"/>
            <w:tcBorders>
              <w:top w:val="single" w:color="000000" w:sz="4" w:space="0"/>
              <w:left w:val="nil"/>
              <w:bottom w:val="single" w:color="000000" w:sz="4" w:space="0"/>
              <w:right w:val="single" w:color="000000" w:sz="4" w:space="0"/>
            </w:tcBorders>
            <w:shd w:val="clear" w:color="auto" w:fill="FFFFFF"/>
            <w:tcMar>
              <w:top w:w="0" w:type="dxa"/>
              <w:left w:w="70" w:type="dxa"/>
              <w:bottom w:w="0" w:type="dxa"/>
              <w:right w:w="70" w:type="dxa"/>
            </w:tcMar>
            <w:vAlign w:val="center"/>
          </w:tcPr>
          <w:p w14:paraId="5904995A">
            <w:pPr>
              <w:rPr>
                <w:rFonts w:hint="default" w:ascii="PingFang400" w:hAnsi="PingFang400" w:eastAsia="PingFang400" w:cs="PingFang400"/>
                <w:color w:val="FF0000"/>
                <w:sz w:val="24"/>
                <w:szCs w:val="24"/>
              </w:rPr>
            </w:pPr>
          </w:p>
        </w:tc>
        <w:tc>
          <w:tcPr>
            <w:tcW w:w="930"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14:paraId="0870217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firstLine="0"/>
              <w:jc w:val="center"/>
              <w:textAlignment w:val="center"/>
              <w:rPr>
                <w:rFonts w:hint="default" w:ascii="PingFang400" w:hAnsi="PingFang400" w:eastAsia="PingFang400" w:cs="PingFang400"/>
                <w:color w:val="FF0000"/>
              </w:rPr>
            </w:pPr>
            <w:r>
              <w:rPr>
                <w:rFonts w:hint="default" w:ascii="PingFang400" w:hAnsi="PingFang400" w:eastAsia="PingFang400" w:cs="PingFang400"/>
                <w:color w:val="FF0000"/>
                <w:sz w:val="14"/>
                <w:szCs w:val="14"/>
              </w:rPr>
              <w:t>（元/年）</w:t>
            </w:r>
          </w:p>
        </w:tc>
        <w:tc>
          <w:tcPr>
            <w:tcW w:w="7540" w:type="dxa"/>
            <w:vMerge w:val="continue"/>
            <w:tcBorders>
              <w:top w:val="single" w:color="000000" w:sz="4" w:space="0"/>
              <w:left w:val="nil"/>
              <w:bottom w:val="single" w:color="000000" w:sz="4" w:space="0"/>
              <w:right w:val="single" w:color="000000" w:sz="4" w:space="0"/>
            </w:tcBorders>
            <w:shd w:val="clear" w:color="auto" w:fill="FFFFFF"/>
            <w:tcMar>
              <w:top w:w="0" w:type="dxa"/>
              <w:left w:w="70" w:type="dxa"/>
              <w:bottom w:w="0" w:type="dxa"/>
              <w:right w:w="70" w:type="dxa"/>
            </w:tcMar>
            <w:vAlign w:val="center"/>
          </w:tcPr>
          <w:p w14:paraId="49B6F308">
            <w:pPr>
              <w:rPr>
                <w:rFonts w:hint="default" w:ascii="PingFang400" w:hAnsi="PingFang400" w:eastAsia="PingFang400" w:cs="PingFang400"/>
                <w:color w:val="FF0000"/>
                <w:sz w:val="24"/>
                <w:szCs w:val="24"/>
              </w:rPr>
            </w:pPr>
          </w:p>
        </w:tc>
      </w:tr>
      <w:tr w14:paraId="486C7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0" w:hRule="atLeast"/>
        </w:trPr>
        <w:tc>
          <w:tcPr>
            <w:tcW w:w="450" w:type="dxa"/>
            <w:tcBorders>
              <w:top w:val="nil"/>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0FE5E11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firstLine="0"/>
              <w:jc w:val="center"/>
              <w:textAlignment w:val="center"/>
              <w:rPr>
                <w:rFonts w:hint="default" w:ascii="PingFang400" w:hAnsi="PingFang400" w:eastAsia="PingFang400" w:cs="PingFang400"/>
                <w:color w:val="FF0000"/>
              </w:rPr>
            </w:pPr>
            <w:r>
              <w:rPr>
                <w:rFonts w:hint="default" w:ascii="PingFang400" w:hAnsi="PingFang400" w:eastAsia="PingFang400" w:cs="PingFang400"/>
                <w:color w:val="FF0000"/>
                <w:sz w:val="15"/>
                <w:szCs w:val="15"/>
              </w:rPr>
              <w:t>经管</w:t>
            </w:r>
          </w:p>
        </w:tc>
        <w:tc>
          <w:tcPr>
            <w:tcW w:w="1178"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14:paraId="44C98A6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firstLine="0"/>
              <w:textAlignment w:val="center"/>
              <w:rPr>
                <w:rFonts w:hint="default" w:ascii="PingFang400" w:hAnsi="PingFang400" w:eastAsia="PingFang400" w:cs="PingFang400"/>
                <w:color w:val="FF0000"/>
              </w:rPr>
            </w:pPr>
            <w:r>
              <w:rPr>
                <w:rFonts w:hint="default" w:ascii="PingFang400" w:hAnsi="PingFang400" w:eastAsia="PingFang400" w:cs="PingFang400"/>
                <w:color w:val="FF0000"/>
                <w:sz w:val="15"/>
                <w:szCs w:val="15"/>
              </w:rPr>
              <w:t>旅游管理</w:t>
            </w:r>
          </w:p>
        </w:tc>
        <w:tc>
          <w:tcPr>
            <w:tcW w:w="560"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14:paraId="7809CF7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firstLine="0"/>
              <w:jc w:val="center"/>
              <w:textAlignment w:val="center"/>
              <w:rPr>
                <w:rFonts w:hint="default" w:ascii="PingFang400" w:hAnsi="PingFang400" w:eastAsia="PingFang400" w:cs="PingFang400"/>
                <w:color w:val="FF0000"/>
              </w:rPr>
            </w:pPr>
            <w:r>
              <w:rPr>
                <w:rFonts w:hint="default" w:ascii="PingFang400" w:hAnsi="PingFang400" w:eastAsia="PingFang400" w:cs="PingFang400"/>
                <w:color w:val="FF0000"/>
                <w:sz w:val="15"/>
                <w:szCs w:val="15"/>
              </w:rPr>
              <w:t>5</w:t>
            </w:r>
          </w:p>
        </w:tc>
        <w:tc>
          <w:tcPr>
            <w:tcW w:w="930"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14:paraId="5FFC740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firstLine="0"/>
              <w:jc w:val="center"/>
              <w:textAlignment w:val="center"/>
              <w:rPr>
                <w:rFonts w:hint="default" w:ascii="PingFang400" w:hAnsi="PingFang400" w:eastAsia="PingFang400" w:cs="PingFang400"/>
                <w:color w:val="FF0000"/>
              </w:rPr>
            </w:pPr>
            <w:r>
              <w:rPr>
                <w:rFonts w:hint="default" w:ascii="PingFang400" w:hAnsi="PingFang400" w:eastAsia="PingFang400" w:cs="PingFang400"/>
                <w:color w:val="FF0000"/>
                <w:sz w:val="14"/>
                <w:szCs w:val="14"/>
              </w:rPr>
              <w:t>4800</w:t>
            </w:r>
          </w:p>
        </w:tc>
        <w:tc>
          <w:tcPr>
            <w:tcW w:w="7540"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14:paraId="7AE8B2E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firstLine="0"/>
              <w:textAlignment w:val="center"/>
              <w:rPr>
                <w:rFonts w:hint="default" w:ascii="PingFang400" w:hAnsi="PingFang400" w:eastAsia="PingFang400" w:cs="PingFang400"/>
                <w:color w:val="FF0000"/>
              </w:rPr>
            </w:pPr>
            <w:r>
              <w:rPr>
                <w:rStyle w:val="6"/>
                <w:rFonts w:hint="default" w:ascii="PingFang400" w:hAnsi="PingFang400" w:eastAsia="PingFang400" w:cs="PingFang400"/>
                <w:color w:val="FF0000"/>
                <w:sz w:val="15"/>
                <w:szCs w:val="15"/>
              </w:rPr>
              <w:t>在台州学院椒江校区就读。</w:t>
            </w:r>
          </w:p>
        </w:tc>
      </w:tr>
      <w:tr w14:paraId="42997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0" w:hRule="atLeast"/>
        </w:trPr>
        <w:tc>
          <w:tcPr>
            <w:tcW w:w="450" w:type="dxa"/>
            <w:tcBorders>
              <w:top w:val="nil"/>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792630C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firstLine="0"/>
              <w:jc w:val="center"/>
              <w:textAlignment w:val="center"/>
              <w:rPr>
                <w:rFonts w:hint="default" w:ascii="PingFang400" w:hAnsi="PingFang400" w:eastAsia="PingFang400" w:cs="PingFang400"/>
                <w:color w:val="FF0000"/>
              </w:rPr>
            </w:pPr>
            <w:r>
              <w:rPr>
                <w:rFonts w:hint="default" w:ascii="PingFang400" w:hAnsi="PingFang400" w:eastAsia="PingFang400" w:cs="PingFang400"/>
                <w:color w:val="FF0000"/>
                <w:sz w:val="15"/>
                <w:szCs w:val="15"/>
              </w:rPr>
              <w:t>理工</w:t>
            </w:r>
          </w:p>
        </w:tc>
        <w:tc>
          <w:tcPr>
            <w:tcW w:w="1178"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14:paraId="6E06F06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firstLine="0"/>
              <w:textAlignment w:val="center"/>
              <w:rPr>
                <w:rFonts w:hint="default" w:ascii="PingFang400" w:hAnsi="PingFang400" w:eastAsia="PingFang400" w:cs="PingFang400"/>
                <w:color w:val="FF0000"/>
              </w:rPr>
            </w:pPr>
            <w:r>
              <w:rPr>
                <w:rFonts w:hint="default" w:ascii="PingFang400" w:hAnsi="PingFang400" w:eastAsia="PingFang400" w:cs="PingFang400"/>
                <w:color w:val="FF0000"/>
                <w:sz w:val="15"/>
                <w:szCs w:val="15"/>
              </w:rPr>
              <w:t>给排水科学与工程</w:t>
            </w:r>
          </w:p>
        </w:tc>
        <w:tc>
          <w:tcPr>
            <w:tcW w:w="560"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14:paraId="239E696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firstLine="0"/>
              <w:jc w:val="center"/>
              <w:textAlignment w:val="center"/>
              <w:rPr>
                <w:rFonts w:hint="default" w:ascii="PingFang400" w:hAnsi="PingFang400" w:eastAsia="PingFang400" w:cs="PingFang400"/>
                <w:color w:val="FF0000"/>
              </w:rPr>
            </w:pPr>
            <w:r>
              <w:rPr>
                <w:rFonts w:hint="default" w:ascii="PingFang400" w:hAnsi="PingFang400" w:eastAsia="PingFang400" w:cs="PingFang400"/>
                <w:color w:val="FF0000"/>
                <w:sz w:val="15"/>
                <w:szCs w:val="15"/>
              </w:rPr>
              <w:t>5</w:t>
            </w:r>
          </w:p>
        </w:tc>
        <w:tc>
          <w:tcPr>
            <w:tcW w:w="930"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14:paraId="540C21B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firstLine="0"/>
              <w:jc w:val="center"/>
              <w:textAlignment w:val="center"/>
              <w:rPr>
                <w:rFonts w:hint="default" w:ascii="PingFang400" w:hAnsi="PingFang400" w:eastAsia="PingFang400" w:cs="PingFang400"/>
                <w:color w:val="FF0000"/>
              </w:rPr>
            </w:pPr>
            <w:r>
              <w:rPr>
                <w:rFonts w:hint="default" w:ascii="PingFang400" w:hAnsi="PingFang400" w:eastAsia="PingFang400" w:cs="PingFang400"/>
                <w:color w:val="FF0000"/>
                <w:sz w:val="14"/>
                <w:szCs w:val="14"/>
              </w:rPr>
              <w:t>5500</w:t>
            </w:r>
          </w:p>
        </w:tc>
        <w:tc>
          <w:tcPr>
            <w:tcW w:w="7540"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14:paraId="2FD8812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firstLine="0"/>
              <w:jc w:val="both"/>
              <w:textAlignment w:val="center"/>
              <w:rPr>
                <w:rFonts w:hint="default" w:ascii="PingFang400" w:hAnsi="PingFang400" w:eastAsia="PingFang400" w:cs="PingFang400"/>
                <w:color w:val="FF0000"/>
              </w:rPr>
            </w:pPr>
            <w:r>
              <w:rPr>
                <w:rFonts w:hint="default" w:ascii="PingFang400" w:hAnsi="PingFang400" w:eastAsia="PingFang400" w:cs="PingFang400"/>
                <w:color w:val="FF0000"/>
                <w:sz w:val="15"/>
                <w:szCs w:val="15"/>
              </w:rPr>
              <w:t>高职高专阶段所学专业为环境监测与控制技术、环境监测技术、环境工程技术、给排水工程技术、水生态修复技术的考生可报考。</w:t>
            </w:r>
            <w:r>
              <w:rPr>
                <w:rStyle w:val="6"/>
                <w:rFonts w:hint="default" w:ascii="PingFang400" w:hAnsi="PingFang400" w:eastAsia="PingFang400" w:cs="PingFang400"/>
                <w:color w:val="FF0000"/>
                <w:sz w:val="15"/>
                <w:szCs w:val="15"/>
              </w:rPr>
              <w:t>在台州学院椒江校区就读。</w:t>
            </w:r>
          </w:p>
        </w:tc>
      </w:tr>
      <w:tr w14:paraId="68534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0" w:hRule="atLeast"/>
        </w:trPr>
        <w:tc>
          <w:tcPr>
            <w:tcW w:w="450" w:type="dxa"/>
            <w:tcBorders>
              <w:top w:val="nil"/>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564CF79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firstLine="0"/>
              <w:jc w:val="center"/>
              <w:textAlignment w:val="center"/>
              <w:rPr>
                <w:rFonts w:hint="default" w:ascii="PingFang400" w:hAnsi="PingFang400" w:eastAsia="PingFang400" w:cs="PingFang400"/>
                <w:color w:val="FF0000"/>
              </w:rPr>
            </w:pPr>
            <w:r>
              <w:rPr>
                <w:rFonts w:hint="default" w:ascii="PingFang400" w:hAnsi="PingFang400" w:eastAsia="PingFang400" w:cs="PingFang400"/>
                <w:color w:val="FF0000"/>
                <w:sz w:val="15"/>
                <w:szCs w:val="15"/>
              </w:rPr>
              <w:t>理工</w:t>
            </w:r>
          </w:p>
        </w:tc>
        <w:tc>
          <w:tcPr>
            <w:tcW w:w="1178"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14:paraId="280C965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firstLine="0"/>
              <w:textAlignment w:val="center"/>
              <w:rPr>
                <w:rFonts w:hint="default" w:ascii="PingFang400" w:hAnsi="PingFang400" w:eastAsia="PingFang400" w:cs="PingFang400"/>
                <w:color w:val="FF0000"/>
              </w:rPr>
            </w:pPr>
            <w:r>
              <w:rPr>
                <w:rFonts w:hint="default" w:ascii="PingFang400" w:hAnsi="PingFang400" w:eastAsia="PingFang400" w:cs="PingFang400"/>
                <w:color w:val="FF0000"/>
                <w:sz w:val="15"/>
                <w:szCs w:val="15"/>
              </w:rPr>
              <w:t>环境工程</w:t>
            </w:r>
          </w:p>
        </w:tc>
        <w:tc>
          <w:tcPr>
            <w:tcW w:w="560"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14:paraId="7891161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firstLine="0"/>
              <w:jc w:val="center"/>
              <w:textAlignment w:val="center"/>
              <w:rPr>
                <w:rFonts w:hint="default" w:ascii="PingFang400" w:hAnsi="PingFang400" w:eastAsia="PingFang400" w:cs="PingFang400"/>
                <w:color w:val="FF0000"/>
              </w:rPr>
            </w:pPr>
            <w:r>
              <w:rPr>
                <w:rFonts w:hint="default" w:ascii="PingFang400" w:hAnsi="PingFang400" w:eastAsia="PingFang400" w:cs="PingFang400"/>
                <w:color w:val="FF0000"/>
                <w:sz w:val="15"/>
                <w:szCs w:val="15"/>
              </w:rPr>
              <w:t>5</w:t>
            </w:r>
          </w:p>
        </w:tc>
        <w:tc>
          <w:tcPr>
            <w:tcW w:w="930"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14:paraId="568BEB6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firstLine="0"/>
              <w:jc w:val="center"/>
              <w:textAlignment w:val="center"/>
              <w:rPr>
                <w:rFonts w:hint="default" w:ascii="PingFang400" w:hAnsi="PingFang400" w:eastAsia="PingFang400" w:cs="PingFang400"/>
                <w:color w:val="FF0000"/>
              </w:rPr>
            </w:pPr>
            <w:r>
              <w:rPr>
                <w:rFonts w:hint="default" w:ascii="PingFang400" w:hAnsi="PingFang400" w:eastAsia="PingFang400" w:cs="PingFang400"/>
                <w:color w:val="FF0000"/>
                <w:sz w:val="14"/>
                <w:szCs w:val="14"/>
              </w:rPr>
              <w:t>5500</w:t>
            </w:r>
          </w:p>
        </w:tc>
        <w:tc>
          <w:tcPr>
            <w:tcW w:w="7540"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14:paraId="5A8F8E1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firstLine="0"/>
              <w:textAlignment w:val="center"/>
              <w:rPr>
                <w:rFonts w:hint="default" w:ascii="PingFang400" w:hAnsi="PingFang400" w:eastAsia="PingFang400" w:cs="PingFang400"/>
                <w:color w:val="FF0000"/>
              </w:rPr>
            </w:pPr>
            <w:r>
              <w:rPr>
                <w:rFonts w:hint="default" w:ascii="PingFang400" w:hAnsi="PingFang400" w:eastAsia="PingFang400" w:cs="PingFang400"/>
                <w:color w:val="FF0000"/>
                <w:sz w:val="15"/>
                <w:szCs w:val="15"/>
              </w:rPr>
              <w:t>高职高专阶段所学专业为绿色食品生产与检验、绿色食品生产技术、工程测量技术、环境监测与控制技术、环境监测技术、环境工程技术、安全健康与环保、职业健康安全技术、安全技术与管理、工程安全评价与监理、发电厂及电力系统、高分子材料工程技术、建筑设计、风景园林设计、园林工程技术、城乡规划、建筑工程技术、地下与隧道工程技术、建筑设备工程技术、供热通风与空调工程技术、建筑电气工程技术、建筑智能化工程技术、消防工程技术、建筑消防技术、建设工程管理、工程造价、建设项目信息化管理、市政工程技术、给排水工程技术、水利工程、水利水电建筑工程、工业设计、工业工程技术、食品生物技术、化工生物技术、药品生物技术、应用化工技术、石油化工技术、精细化工技术、工业分析技术、分析检验技术、化工装备技术、染整技术、数字化染整技术、酿酒技术、食品质量与安全、食品检测技术、食品检验检测技术、食品营养与检测、药品生产技术、药品质量与安全、制药设备应用技术、化学制药技术、生物制药技术、道路桥梁工程技术、道路与桥梁工程技术、药学、化学教育的考生可报考。</w:t>
            </w:r>
            <w:r>
              <w:rPr>
                <w:rStyle w:val="6"/>
                <w:rFonts w:hint="default" w:ascii="PingFang400" w:hAnsi="PingFang400" w:eastAsia="PingFang400" w:cs="PingFang400"/>
                <w:color w:val="FF0000"/>
                <w:sz w:val="15"/>
                <w:szCs w:val="15"/>
              </w:rPr>
              <w:t>在台州学院椒江校区就读。</w:t>
            </w:r>
          </w:p>
        </w:tc>
      </w:tr>
      <w:tr w14:paraId="2DBB2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0" w:hRule="atLeast"/>
        </w:trPr>
        <w:tc>
          <w:tcPr>
            <w:tcW w:w="450" w:type="dxa"/>
            <w:tcBorders>
              <w:top w:val="nil"/>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04816C9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firstLine="0"/>
              <w:jc w:val="center"/>
              <w:textAlignment w:val="center"/>
              <w:rPr>
                <w:rFonts w:hint="default" w:ascii="PingFang400" w:hAnsi="PingFang400" w:eastAsia="PingFang400" w:cs="PingFang400"/>
                <w:color w:val="FF0000"/>
              </w:rPr>
            </w:pPr>
            <w:r>
              <w:rPr>
                <w:rFonts w:hint="default" w:ascii="PingFang400" w:hAnsi="PingFang400" w:eastAsia="PingFang400" w:cs="PingFang400"/>
                <w:color w:val="FF0000"/>
                <w:sz w:val="15"/>
                <w:szCs w:val="15"/>
              </w:rPr>
              <w:t>理工</w:t>
            </w:r>
          </w:p>
        </w:tc>
        <w:tc>
          <w:tcPr>
            <w:tcW w:w="1178"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14:paraId="6AF5534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firstLine="0"/>
              <w:textAlignment w:val="center"/>
              <w:rPr>
                <w:rFonts w:hint="default" w:ascii="PingFang400" w:hAnsi="PingFang400" w:eastAsia="PingFang400" w:cs="PingFang400"/>
                <w:color w:val="FF0000"/>
              </w:rPr>
            </w:pPr>
            <w:r>
              <w:rPr>
                <w:rFonts w:hint="default" w:ascii="PingFang400" w:hAnsi="PingFang400" w:eastAsia="PingFang400" w:cs="PingFang400"/>
                <w:color w:val="FF0000"/>
                <w:sz w:val="15"/>
                <w:szCs w:val="15"/>
              </w:rPr>
              <w:t>生物制药</w:t>
            </w:r>
          </w:p>
        </w:tc>
        <w:tc>
          <w:tcPr>
            <w:tcW w:w="560"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14:paraId="7ADCCE7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firstLine="0"/>
              <w:jc w:val="center"/>
              <w:textAlignment w:val="center"/>
              <w:rPr>
                <w:rFonts w:hint="default" w:ascii="PingFang400" w:hAnsi="PingFang400" w:eastAsia="PingFang400" w:cs="PingFang400"/>
                <w:color w:val="FF0000"/>
              </w:rPr>
            </w:pPr>
            <w:r>
              <w:rPr>
                <w:rFonts w:hint="default" w:ascii="PingFang400" w:hAnsi="PingFang400" w:eastAsia="PingFang400" w:cs="PingFang400"/>
                <w:color w:val="FF0000"/>
                <w:sz w:val="15"/>
                <w:szCs w:val="15"/>
              </w:rPr>
              <w:t>5</w:t>
            </w:r>
          </w:p>
        </w:tc>
        <w:tc>
          <w:tcPr>
            <w:tcW w:w="930"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14:paraId="1CB16BF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firstLine="0"/>
              <w:jc w:val="center"/>
              <w:textAlignment w:val="center"/>
              <w:rPr>
                <w:rFonts w:hint="default" w:ascii="PingFang400" w:hAnsi="PingFang400" w:eastAsia="PingFang400" w:cs="PingFang400"/>
                <w:color w:val="FF0000"/>
              </w:rPr>
            </w:pPr>
            <w:r>
              <w:rPr>
                <w:rFonts w:hint="default" w:ascii="PingFang400" w:hAnsi="PingFang400" w:eastAsia="PingFang400" w:cs="PingFang400"/>
                <w:color w:val="FF0000"/>
                <w:sz w:val="14"/>
                <w:szCs w:val="14"/>
              </w:rPr>
              <w:t>5500</w:t>
            </w:r>
          </w:p>
        </w:tc>
        <w:tc>
          <w:tcPr>
            <w:tcW w:w="7540"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14:paraId="3F8C6E5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firstLine="0"/>
              <w:textAlignment w:val="center"/>
              <w:rPr>
                <w:rFonts w:hint="default" w:ascii="PingFang400" w:hAnsi="PingFang400" w:eastAsia="PingFang400" w:cs="PingFang400"/>
                <w:color w:val="FF0000"/>
              </w:rPr>
            </w:pPr>
            <w:r>
              <w:rPr>
                <w:rFonts w:hint="default" w:ascii="PingFang400" w:hAnsi="PingFang400" w:eastAsia="PingFang400" w:cs="PingFang400"/>
                <w:color w:val="FF0000"/>
                <w:sz w:val="15"/>
                <w:szCs w:val="15"/>
              </w:rPr>
              <w:t>高职高专阶段所学专业为设施农业与装备、园艺技术、茶树栽培与茶叶加工、茶叶生产与加工技术、农产品加工与质量检测、绿色食品生产与检验、绿色食品生产技术、农产品流通与管理、农村经营管理、农村新型经济组织管理、林业技术、园林技术、畜牧兽医、动物医学、动物防疫与检疫、动物医学检验技术、宠物养护与驯导、水产养殖技术、海洋渔业技术、环境监测与控制技术、环境监测技术、环境工程技术、安全健康与环保、职业健康安全技术、材料工程技术、高分子材料工程技术、食品生物技术、化工生物技术、药品生物技术、农业生物技术、应用化工技术、石油炼制技术、石油化工技术、精细化工技术、工业分析技术、分析检验技术、化工装备技术、化妆品技术、食品加工技术、食品智能加工技术、酿酒技术、食品质量与安全、食品贮运与营销、食品检测技术、食品检验检测技术、食品营养与检测、药品生产技术、药品质量与安全、制药设备应用技术、化学制药技术、生物制药技术、中药制药技术、中药制药、药物制剂技术、药品经营与管理、保健品开发与管理、保健食品质量与管理、化妆品经营与管理、食品药品监督管理、药学、中药学、医学检验技术、卫生检验与检疫技术、卫生信息管理、健康管理、医学营养、医疗设备应用技术、精密医疗器械技术、医用电子仪器技术、医疗器械维护与管理、康复工程技术的考生可报考。</w:t>
            </w:r>
            <w:r>
              <w:rPr>
                <w:rStyle w:val="6"/>
                <w:rFonts w:hint="default" w:ascii="PingFang400" w:hAnsi="PingFang400" w:eastAsia="PingFang400" w:cs="PingFang400"/>
                <w:color w:val="FF0000"/>
                <w:sz w:val="15"/>
                <w:szCs w:val="15"/>
              </w:rPr>
              <w:t>在台州学院椒江校区就读。</w:t>
            </w:r>
          </w:p>
        </w:tc>
      </w:tr>
      <w:tr w14:paraId="3F4FC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10" w:hRule="atLeast"/>
        </w:trPr>
        <w:tc>
          <w:tcPr>
            <w:tcW w:w="450" w:type="dxa"/>
            <w:tcBorders>
              <w:top w:val="nil"/>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77BC335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firstLine="0"/>
              <w:jc w:val="center"/>
              <w:textAlignment w:val="center"/>
              <w:rPr>
                <w:rFonts w:hint="default" w:ascii="PingFang400" w:hAnsi="PingFang400" w:eastAsia="PingFang400" w:cs="PingFang400"/>
                <w:color w:val="FF0000"/>
              </w:rPr>
            </w:pPr>
            <w:r>
              <w:rPr>
                <w:rFonts w:hint="default" w:ascii="PingFang400" w:hAnsi="PingFang400" w:eastAsia="PingFang400" w:cs="PingFang400"/>
                <w:color w:val="FF0000"/>
                <w:sz w:val="15"/>
                <w:szCs w:val="15"/>
              </w:rPr>
              <w:t>理工</w:t>
            </w:r>
          </w:p>
        </w:tc>
        <w:tc>
          <w:tcPr>
            <w:tcW w:w="1178"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14:paraId="0F57451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firstLine="0"/>
              <w:textAlignment w:val="center"/>
              <w:rPr>
                <w:rFonts w:hint="default" w:ascii="PingFang400" w:hAnsi="PingFang400" w:eastAsia="PingFang400" w:cs="PingFang400"/>
                <w:color w:val="FF0000"/>
              </w:rPr>
            </w:pPr>
            <w:r>
              <w:rPr>
                <w:rFonts w:hint="default" w:ascii="PingFang400" w:hAnsi="PingFang400" w:eastAsia="PingFang400" w:cs="PingFang400"/>
                <w:color w:val="FF0000"/>
                <w:sz w:val="15"/>
                <w:szCs w:val="15"/>
              </w:rPr>
              <w:t>制药工程</w:t>
            </w:r>
          </w:p>
        </w:tc>
        <w:tc>
          <w:tcPr>
            <w:tcW w:w="560"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14:paraId="27E8D6C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firstLine="0"/>
              <w:jc w:val="center"/>
              <w:textAlignment w:val="center"/>
              <w:rPr>
                <w:rFonts w:hint="default" w:ascii="PingFang400" w:hAnsi="PingFang400" w:eastAsia="PingFang400" w:cs="PingFang400"/>
                <w:color w:val="FF0000"/>
              </w:rPr>
            </w:pPr>
            <w:r>
              <w:rPr>
                <w:rFonts w:hint="default" w:ascii="PingFang400" w:hAnsi="PingFang400" w:eastAsia="PingFang400" w:cs="PingFang400"/>
                <w:color w:val="FF0000"/>
                <w:sz w:val="15"/>
                <w:szCs w:val="15"/>
              </w:rPr>
              <w:t>5</w:t>
            </w:r>
          </w:p>
        </w:tc>
        <w:tc>
          <w:tcPr>
            <w:tcW w:w="930"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14:paraId="597C3D8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firstLine="0"/>
              <w:jc w:val="center"/>
              <w:textAlignment w:val="center"/>
              <w:rPr>
                <w:rFonts w:hint="default" w:ascii="PingFang400" w:hAnsi="PingFang400" w:eastAsia="PingFang400" w:cs="PingFang400"/>
                <w:color w:val="FF0000"/>
              </w:rPr>
            </w:pPr>
            <w:r>
              <w:rPr>
                <w:rFonts w:hint="default" w:ascii="PingFang400" w:hAnsi="PingFang400" w:eastAsia="PingFang400" w:cs="PingFang400"/>
                <w:color w:val="FF0000"/>
                <w:sz w:val="14"/>
                <w:szCs w:val="14"/>
              </w:rPr>
              <w:t>5500</w:t>
            </w:r>
          </w:p>
        </w:tc>
        <w:tc>
          <w:tcPr>
            <w:tcW w:w="7540"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14:paraId="301F04C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firstLine="0"/>
              <w:jc w:val="both"/>
              <w:textAlignment w:val="center"/>
              <w:rPr>
                <w:rFonts w:hint="default" w:ascii="PingFang400" w:hAnsi="PingFang400" w:eastAsia="PingFang400" w:cs="PingFang400"/>
                <w:color w:val="FF0000"/>
              </w:rPr>
            </w:pPr>
            <w:r>
              <w:rPr>
                <w:rFonts w:hint="default" w:ascii="PingFang400" w:hAnsi="PingFang400" w:eastAsia="PingFang400" w:cs="PingFang400"/>
                <w:color w:val="FF0000"/>
                <w:sz w:val="15"/>
                <w:szCs w:val="15"/>
              </w:rPr>
              <w:t>高职高专阶段所学专业为绿色食品生产与检验、绿色食品生产技术、油气储运技术、环境监测与控制技术、环境监测技术、环境工程技术、安全健康与环保、职业健康安全技术、安全技术与管理、化工生物技术、药品生物技术、应用化工技术、石油化工技术、精细化工技术、工业分析技术、分析检验技术、化工装备技术、食品加工技术、食品智能加工技术、食品质量与安全、食品检测技术、食品检验检测技术、食品营养与检测、药品生产技术、药品质量与安全、制药设备应用技术、化学制药技术、生物制药技术、中药制药技术、中药制药、药物制剂技术、药品经营与管理、药学、中药学的考生可报考。</w:t>
            </w:r>
            <w:r>
              <w:rPr>
                <w:rStyle w:val="6"/>
                <w:rFonts w:hint="default" w:ascii="PingFang400" w:hAnsi="PingFang400" w:eastAsia="PingFang400" w:cs="PingFang400"/>
                <w:color w:val="FF0000"/>
                <w:sz w:val="15"/>
                <w:szCs w:val="15"/>
              </w:rPr>
              <w:t>在台州学院椒江校区就读。</w:t>
            </w:r>
          </w:p>
        </w:tc>
      </w:tr>
      <w:tr w14:paraId="3A1A8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40" w:hRule="atLeast"/>
        </w:trPr>
        <w:tc>
          <w:tcPr>
            <w:tcW w:w="450" w:type="dxa"/>
            <w:tcBorders>
              <w:top w:val="nil"/>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6266B23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firstLine="0"/>
              <w:jc w:val="center"/>
              <w:textAlignment w:val="center"/>
              <w:rPr>
                <w:rFonts w:hint="default" w:ascii="PingFang400" w:hAnsi="PingFang400" w:eastAsia="PingFang400" w:cs="PingFang400"/>
                <w:color w:val="FF0000"/>
              </w:rPr>
            </w:pPr>
            <w:r>
              <w:rPr>
                <w:rFonts w:hint="default" w:ascii="PingFang400" w:hAnsi="PingFang400" w:eastAsia="PingFang400" w:cs="PingFang400"/>
                <w:color w:val="FF0000"/>
                <w:sz w:val="15"/>
                <w:szCs w:val="15"/>
              </w:rPr>
              <w:t>理工</w:t>
            </w:r>
          </w:p>
        </w:tc>
        <w:tc>
          <w:tcPr>
            <w:tcW w:w="1178"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14:paraId="047586A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firstLine="0"/>
              <w:textAlignment w:val="center"/>
              <w:rPr>
                <w:rFonts w:hint="default" w:ascii="PingFang400" w:hAnsi="PingFang400" w:eastAsia="PingFang400" w:cs="PingFang400"/>
                <w:color w:val="FF0000"/>
              </w:rPr>
            </w:pPr>
            <w:r>
              <w:rPr>
                <w:rFonts w:hint="default" w:ascii="PingFang400" w:hAnsi="PingFang400" w:eastAsia="PingFang400" w:cs="PingFang400"/>
                <w:color w:val="FF0000"/>
                <w:sz w:val="15"/>
                <w:szCs w:val="15"/>
              </w:rPr>
              <w:t>高分子材料与工程</w:t>
            </w:r>
          </w:p>
        </w:tc>
        <w:tc>
          <w:tcPr>
            <w:tcW w:w="560"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14:paraId="74B7C4A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firstLine="0"/>
              <w:jc w:val="center"/>
              <w:textAlignment w:val="center"/>
              <w:rPr>
                <w:rFonts w:hint="default" w:ascii="PingFang400" w:hAnsi="PingFang400" w:eastAsia="PingFang400" w:cs="PingFang400"/>
                <w:color w:val="FF0000"/>
              </w:rPr>
            </w:pPr>
            <w:r>
              <w:rPr>
                <w:rFonts w:hint="default" w:ascii="PingFang400" w:hAnsi="PingFang400" w:eastAsia="PingFang400" w:cs="PingFang400"/>
                <w:color w:val="FF0000"/>
                <w:sz w:val="15"/>
                <w:szCs w:val="15"/>
              </w:rPr>
              <w:t>5</w:t>
            </w:r>
          </w:p>
        </w:tc>
        <w:tc>
          <w:tcPr>
            <w:tcW w:w="930"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14:paraId="7F766EA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firstLine="0"/>
              <w:jc w:val="center"/>
              <w:textAlignment w:val="center"/>
              <w:rPr>
                <w:rFonts w:hint="default" w:ascii="PingFang400" w:hAnsi="PingFang400" w:eastAsia="PingFang400" w:cs="PingFang400"/>
                <w:color w:val="FF0000"/>
              </w:rPr>
            </w:pPr>
            <w:r>
              <w:rPr>
                <w:rFonts w:hint="default" w:ascii="PingFang400" w:hAnsi="PingFang400" w:eastAsia="PingFang400" w:cs="PingFang400"/>
                <w:color w:val="FF0000"/>
                <w:sz w:val="14"/>
                <w:szCs w:val="14"/>
              </w:rPr>
              <w:t>5500</w:t>
            </w:r>
          </w:p>
        </w:tc>
        <w:tc>
          <w:tcPr>
            <w:tcW w:w="7540"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14:paraId="0B48239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firstLine="0"/>
              <w:jc w:val="both"/>
              <w:textAlignment w:val="center"/>
              <w:rPr>
                <w:rFonts w:hint="default" w:ascii="PingFang400" w:hAnsi="PingFang400" w:eastAsia="PingFang400" w:cs="PingFang400"/>
                <w:color w:val="FF0000"/>
              </w:rPr>
            </w:pPr>
            <w:r>
              <w:rPr>
                <w:rFonts w:hint="default" w:ascii="PingFang400" w:hAnsi="PingFang400" w:eastAsia="PingFang400" w:cs="PingFang400"/>
                <w:color w:val="FF0000"/>
                <w:sz w:val="15"/>
                <w:szCs w:val="15"/>
              </w:rPr>
              <w:t>高职高专阶段所学专业为农产品加工与质量检测、绿色食品生产与检验、绿色食品生产技术、农产品流通与管理、环境监测与控制技术、环境监测技术、安全健康与环保、职业健康安全技术、材料工程技术、高分子材料工程技术、材料成型与控制技术、材料成型及控制技术、理化测试与质检技术、模具设计与制造、食品生物技术、化工生物技术、药品生物技术、农业生物技术、应用化工技术、石油化工技术、精细化工技术、工业分析技术、分析检验技术、化工装备技术、化妆品技术、食品加工技术、食品智能加工技术、酿酒技术、食品质量与安全、食品贮运与营销、食品检测技术、食品检验检测技术、食品营养与检测、药品生产技术、药品质量与安全、制药设备应用技术、化学制药技术、生物制药技术、中药制药技术、中药制药、药物制剂技术、药品经营与管理、保健品开发与管理、保健食品质量与管理、化妆品经营与管理、医疗设备应用技术、医疗器械维护与管理、物理教育、化学教育、生物教育的考生可报考。</w:t>
            </w:r>
            <w:r>
              <w:rPr>
                <w:rStyle w:val="6"/>
                <w:rFonts w:hint="default" w:ascii="PingFang400" w:hAnsi="PingFang400" w:eastAsia="PingFang400" w:cs="PingFang400"/>
                <w:color w:val="FF0000"/>
                <w:sz w:val="15"/>
                <w:szCs w:val="15"/>
              </w:rPr>
              <w:t>在台州学院椒江校区就读。</w:t>
            </w:r>
          </w:p>
        </w:tc>
      </w:tr>
      <w:tr w14:paraId="261D0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00" w:hRule="atLeast"/>
        </w:trPr>
        <w:tc>
          <w:tcPr>
            <w:tcW w:w="450" w:type="dxa"/>
            <w:tcBorders>
              <w:top w:val="nil"/>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65E33C6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firstLine="0"/>
              <w:jc w:val="center"/>
              <w:textAlignment w:val="center"/>
              <w:rPr>
                <w:rFonts w:hint="default" w:ascii="PingFang400" w:hAnsi="PingFang400" w:eastAsia="PingFang400" w:cs="PingFang400"/>
                <w:color w:val="FF0000"/>
              </w:rPr>
            </w:pPr>
            <w:r>
              <w:rPr>
                <w:rFonts w:hint="default" w:ascii="PingFang400" w:hAnsi="PingFang400" w:eastAsia="PingFang400" w:cs="PingFang400"/>
                <w:color w:val="FF0000"/>
                <w:sz w:val="15"/>
                <w:szCs w:val="15"/>
              </w:rPr>
              <w:t>理工</w:t>
            </w:r>
          </w:p>
        </w:tc>
        <w:tc>
          <w:tcPr>
            <w:tcW w:w="1178"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14:paraId="194161F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firstLine="0"/>
              <w:textAlignment w:val="center"/>
              <w:rPr>
                <w:rFonts w:hint="default" w:ascii="PingFang400" w:hAnsi="PingFang400" w:eastAsia="PingFang400" w:cs="PingFang400"/>
                <w:color w:val="FF0000"/>
              </w:rPr>
            </w:pPr>
            <w:r>
              <w:rPr>
                <w:rFonts w:hint="default" w:ascii="PingFang400" w:hAnsi="PingFang400" w:eastAsia="PingFang400" w:cs="PingFang400"/>
                <w:color w:val="FF0000"/>
                <w:sz w:val="15"/>
                <w:szCs w:val="15"/>
              </w:rPr>
              <w:t>机械设计制造及自动化</w:t>
            </w:r>
          </w:p>
        </w:tc>
        <w:tc>
          <w:tcPr>
            <w:tcW w:w="560"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14:paraId="400A487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firstLine="0"/>
              <w:jc w:val="center"/>
              <w:textAlignment w:val="center"/>
              <w:rPr>
                <w:rFonts w:hint="default" w:ascii="PingFang400" w:hAnsi="PingFang400" w:eastAsia="PingFang400" w:cs="PingFang400"/>
                <w:color w:val="FF0000"/>
              </w:rPr>
            </w:pPr>
            <w:r>
              <w:rPr>
                <w:rFonts w:hint="default" w:ascii="PingFang400" w:hAnsi="PingFang400" w:eastAsia="PingFang400" w:cs="PingFang400"/>
                <w:color w:val="FF0000"/>
                <w:sz w:val="15"/>
                <w:szCs w:val="15"/>
              </w:rPr>
              <w:t>7</w:t>
            </w:r>
          </w:p>
        </w:tc>
        <w:tc>
          <w:tcPr>
            <w:tcW w:w="930"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14:paraId="107DCC3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firstLine="0"/>
              <w:jc w:val="center"/>
              <w:textAlignment w:val="center"/>
              <w:rPr>
                <w:rFonts w:hint="default" w:ascii="PingFang400" w:hAnsi="PingFang400" w:eastAsia="PingFang400" w:cs="PingFang400"/>
                <w:color w:val="FF0000"/>
              </w:rPr>
            </w:pPr>
            <w:r>
              <w:rPr>
                <w:rFonts w:hint="default" w:ascii="PingFang400" w:hAnsi="PingFang400" w:eastAsia="PingFang400" w:cs="PingFang400"/>
                <w:color w:val="FF0000"/>
                <w:sz w:val="14"/>
                <w:szCs w:val="14"/>
              </w:rPr>
              <w:t>5500</w:t>
            </w:r>
          </w:p>
        </w:tc>
        <w:tc>
          <w:tcPr>
            <w:tcW w:w="7540"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14:paraId="53E0976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firstLine="0"/>
              <w:textAlignment w:val="center"/>
              <w:rPr>
                <w:rFonts w:hint="default" w:ascii="PingFang400" w:hAnsi="PingFang400" w:eastAsia="PingFang400" w:cs="PingFang400"/>
                <w:color w:val="FF0000"/>
              </w:rPr>
            </w:pPr>
            <w:r>
              <w:rPr>
                <w:rFonts w:hint="default" w:ascii="PingFang400" w:hAnsi="PingFang400" w:eastAsia="PingFang400" w:cs="PingFang400"/>
                <w:color w:val="FF0000"/>
                <w:sz w:val="15"/>
                <w:szCs w:val="15"/>
              </w:rPr>
              <w:t>高职高专阶段所学专业为机械设计与制造、数字化设计与制造技术、机械制造与自动化、机械制造及自动化、数控技术、精密机械技术、材料成型与控制技术、材料成型及控制技术、机械产品检测检验技术、模具设计与制造、电机与电器技术、机械装备制造技术、工业工程技术、机电设备维修与管理、数控设备应用与维护、智能制造装备技术、机电一体化技术、电气自动化技术、工业过程自动化技术、智能控制技术、工业机器人技术、工业互联网应用、汽车制造与装配技术、汽车制造与试验技术、汽车检测与维修技术的考生可报考。</w:t>
            </w:r>
            <w:r>
              <w:rPr>
                <w:rStyle w:val="6"/>
                <w:rFonts w:hint="default" w:ascii="PingFang400" w:hAnsi="PingFang400" w:eastAsia="PingFang400" w:cs="PingFang400"/>
                <w:color w:val="FF0000"/>
                <w:sz w:val="15"/>
                <w:szCs w:val="15"/>
              </w:rPr>
              <w:t>本专业为本科层次职业教育专业，在台州职业技术学院就读。</w:t>
            </w:r>
          </w:p>
        </w:tc>
      </w:tr>
      <w:tr w14:paraId="0453B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70" w:hRule="atLeast"/>
        </w:trPr>
        <w:tc>
          <w:tcPr>
            <w:tcW w:w="450" w:type="dxa"/>
            <w:tcBorders>
              <w:top w:val="nil"/>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456B32E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firstLine="0"/>
              <w:jc w:val="center"/>
              <w:textAlignment w:val="center"/>
              <w:rPr>
                <w:rFonts w:hint="default" w:ascii="PingFang400" w:hAnsi="PingFang400" w:eastAsia="PingFang400" w:cs="PingFang400"/>
                <w:color w:val="FF0000"/>
              </w:rPr>
            </w:pPr>
            <w:r>
              <w:rPr>
                <w:rFonts w:hint="default" w:ascii="PingFang400" w:hAnsi="PingFang400" w:eastAsia="PingFang400" w:cs="PingFang400"/>
                <w:color w:val="FF0000"/>
                <w:sz w:val="15"/>
                <w:szCs w:val="15"/>
              </w:rPr>
              <w:t>理工</w:t>
            </w:r>
          </w:p>
        </w:tc>
        <w:tc>
          <w:tcPr>
            <w:tcW w:w="1178"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14:paraId="4AC960D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firstLine="0"/>
              <w:textAlignment w:val="center"/>
              <w:rPr>
                <w:rFonts w:hint="default" w:ascii="PingFang400" w:hAnsi="PingFang400" w:eastAsia="PingFang400" w:cs="PingFang400"/>
                <w:color w:val="FF0000"/>
              </w:rPr>
            </w:pPr>
            <w:r>
              <w:rPr>
                <w:rFonts w:hint="default" w:ascii="PingFang400" w:hAnsi="PingFang400" w:eastAsia="PingFang400" w:cs="PingFang400"/>
                <w:color w:val="FF0000"/>
                <w:sz w:val="15"/>
                <w:szCs w:val="15"/>
              </w:rPr>
              <w:t>制药工程技术</w:t>
            </w:r>
          </w:p>
        </w:tc>
        <w:tc>
          <w:tcPr>
            <w:tcW w:w="560"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14:paraId="79425DC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firstLine="0"/>
              <w:jc w:val="center"/>
              <w:textAlignment w:val="center"/>
              <w:rPr>
                <w:rFonts w:hint="default" w:ascii="PingFang400" w:hAnsi="PingFang400" w:eastAsia="PingFang400" w:cs="PingFang400"/>
                <w:color w:val="FF0000"/>
              </w:rPr>
            </w:pPr>
            <w:r>
              <w:rPr>
                <w:rFonts w:hint="default" w:ascii="PingFang400" w:hAnsi="PingFang400" w:eastAsia="PingFang400" w:cs="PingFang400"/>
                <w:color w:val="FF0000"/>
                <w:sz w:val="15"/>
                <w:szCs w:val="15"/>
              </w:rPr>
              <w:t>7</w:t>
            </w:r>
          </w:p>
        </w:tc>
        <w:tc>
          <w:tcPr>
            <w:tcW w:w="930"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14:paraId="593D2AB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firstLine="0"/>
              <w:jc w:val="center"/>
              <w:textAlignment w:val="center"/>
              <w:rPr>
                <w:rFonts w:hint="default" w:ascii="PingFang400" w:hAnsi="PingFang400" w:eastAsia="PingFang400" w:cs="PingFang400"/>
                <w:color w:val="FF0000"/>
              </w:rPr>
            </w:pPr>
            <w:r>
              <w:rPr>
                <w:rFonts w:hint="default" w:ascii="PingFang400" w:hAnsi="PingFang400" w:eastAsia="PingFang400" w:cs="PingFang400"/>
                <w:color w:val="FF0000"/>
                <w:sz w:val="14"/>
                <w:szCs w:val="14"/>
              </w:rPr>
              <w:t>5500</w:t>
            </w:r>
          </w:p>
        </w:tc>
        <w:tc>
          <w:tcPr>
            <w:tcW w:w="7540"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14:paraId="1AC0AEC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firstLine="0"/>
              <w:textAlignment w:val="center"/>
              <w:rPr>
                <w:rFonts w:hint="default" w:ascii="PingFang400" w:hAnsi="PingFang400" w:eastAsia="PingFang400" w:cs="PingFang400"/>
                <w:color w:val="FF0000"/>
              </w:rPr>
            </w:pPr>
            <w:r>
              <w:rPr>
                <w:rFonts w:hint="default" w:ascii="PingFang400" w:hAnsi="PingFang400" w:eastAsia="PingFang400" w:cs="PingFang400"/>
                <w:color w:val="FF0000"/>
                <w:sz w:val="15"/>
                <w:szCs w:val="15"/>
              </w:rPr>
              <w:t>高职高专阶段所学专业为绿色食品生产与检验、绿色食品生产技术、油气储运技术、环境监测与控制技术、环境监测技术、环境工程技术、绿色低碳技术、安全健康与环保、职业健康安全技术、安全技术与管理、化工生物技术、药品生物技术、应用化工技术、石油炼制技术、石油化工技术、精细化工技术、工业分析技术、分析检验技术、化工装备技术、化工智能制造技术、食品加工技术、食品智能加工技术、食品质量与安全、食品检测技术、食品检验检测技术、食品营养与检测、药品生产技术、药品质量与安全、制药设备应用技术、化学制药技术、生物制药技术、中药制药技术、中药制药、药物制剂技术、药品经营与管理、药学、中药学的考生可报考。</w:t>
            </w:r>
            <w:r>
              <w:rPr>
                <w:rStyle w:val="6"/>
                <w:rFonts w:hint="default" w:ascii="PingFang400" w:hAnsi="PingFang400" w:eastAsia="PingFang400" w:cs="PingFang400"/>
                <w:color w:val="FF0000"/>
                <w:sz w:val="15"/>
                <w:szCs w:val="15"/>
              </w:rPr>
              <w:t>本专业为本科层次职业教育专业，在台州职业技术学院就读。</w:t>
            </w:r>
          </w:p>
        </w:tc>
      </w:tr>
      <w:tr w14:paraId="1D9D2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20" w:hRule="atLeast"/>
        </w:trPr>
        <w:tc>
          <w:tcPr>
            <w:tcW w:w="450" w:type="dxa"/>
            <w:tcBorders>
              <w:top w:val="nil"/>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7C1645E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firstLine="0"/>
              <w:jc w:val="center"/>
              <w:textAlignment w:val="center"/>
              <w:rPr>
                <w:rFonts w:hint="default" w:ascii="PingFang400" w:hAnsi="PingFang400" w:eastAsia="PingFang400" w:cs="PingFang400"/>
                <w:color w:val="FF0000"/>
              </w:rPr>
            </w:pPr>
            <w:r>
              <w:rPr>
                <w:rFonts w:hint="default" w:ascii="PingFang400" w:hAnsi="PingFang400" w:eastAsia="PingFang400" w:cs="PingFang400"/>
                <w:color w:val="FF0000"/>
                <w:sz w:val="15"/>
                <w:szCs w:val="15"/>
              </w:rPr>
              <w:t>理工</w:t>
            </w:r>
          </w:p>
        </w:tc>
        <w:tc>
          <w:tcPr>
            <w:tcW w:w="1178"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14:paraId="3E283BE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firstLine="0"/>
              <w:textAlignment w:val="center"/>
              <w:rPr>
                <w:rFonts w:hint="default" w:ascii="PingFang400" w:hAnsi="PingFang400" w:eastAsia="PingFang400" w:cs="PingFang400"/>
                <w:color w:val="FF0000"/>
              </w:rPr>
            </w:pPr>
            <w:r>
              <w:rPr>
                <w:rFonts w:hint="default" w:ascii="PingFang400" w:hAnsi="PingFang400" w:eastAsia="PingFang400" w:cs="PingFang400"/>
                <w:color w:val="FF0000"/>
                <w:sz w:val="15"/>
                <w:szCs w:val="15"/>
              </w:rPr>
              <w:t>材料成型及控制工程</w:t>
            </w:r>
          </w:p>
        </w:tc>
        <w:tc>
          <w:tcPr>
            <w:tcW w:w="560"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14:paraId="24D390F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firstLine="0"/>
              <w:jc w:val="center"/>
              <w:textAlignment w:val="center"/>
              <w:rPr>
                <w:rFonts w:hint="default" w:ascii="PingFang400" w:hAnsi="PingFang400" w:eastAsia="PingFang400" w:cs="PingFang400"/>
                <w:color w:val="FF0000"/>
              </w:rPr>
            </w:pPr>
            <w:r>
              <w:rPr>
                <w:rFonts w:hint="default" w:ascii="PingFang400" w:hAnsi="PingFang400" w:eastAsia="PingFang400" w:cs="PingFang400"/>
                <w:color w:val="FF0000"/>
                <w:sz w:val="15"/>
                <w:szCs w:val="15"/>
              </w:rPr>
              <w:t>7</w:t>
            </w:r>
          </w:p>
        </w:tc>
        <w:tc>
          <w:tcPr>
            <w:tcW w:w="930"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14:paraId="31B55B3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firstLine="0"/>
              <w:jc w:val="center"/>
              <w:textAlignment w:val="center"/>
              <w:rPr>
                <w:rFonts w:hint="default" w:ascii="PingFang400" w:hAnsi="PingFang400" w:eastAsia="PingFang400" w:cs="PingFang400"/>
                <w:color w:val="FF0000"/>
              </w:rPr>
            </w:pPr>
            <w:r>
              <w:rPr>
                <w:rFonts w:hint="default" w:ascii="PingFang400" w:hAnsi="PingFang400" w:eastAsia="PingFang400" w:cs="PingFang400"/>
                <w:color w:val="FF0000"/>
                <w:sz w:val="14"/>
                <w:szCs w:val="14"/>
              </w:rPr>
              <w:t>5500</w:t>
            </w:r>
          </w:p>
        </w:tc>
        <w:tc>
          <w:tcPr>
            <w:tcW w:w="7540"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14:paraId="61009F5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firstLine="0"/>
              <w:jc w:val="both"/>
              <w:textAlignment w:val="center"/>
              <w:rPr>
                <w:rFonts w:hint="default" w:ascii="PingFang400" w:hAnsi="PingFang400" w:eastAsia="PingFang400" w:cs="PingFang400"/>
                <w:color w:val="FF0000"/>
              </w:rPr>
            </w:pPr>
            <w:r>
              <w:rPr>
                <w:rFonts w:hint="default" w:ascii="PingFang400" w:hAnsi="PingFang400" w:eastAsia="PingFang400" w:cs="PingFang400"/>
                <w:color w:val="FF0000"/>
                <w:sz w:val="15"/>
                <w:szCs w:val="15"/>
              </w:rPr>
              <w:t>高职高专阶段所学专业为机械设计与制造、数字化设计与制造技术、机械制造与自动化、机械制造及自动化、数控技术、精密机械技术、材料成型与控制技术、材料成型及控制技术、模具设计与制造、电机与电器技术、机械装备制造技术、工业设计、工业工程技术、机电设备维修与管理、数控设备应用与维护、智能制造装备技术、机电一体化技术、电气自动化技术、工业过程自动化技术、智能控制技术、工业机器人技术、工业互联网应用、飞行器制造技术、飞行器数字化制造技术、汽车制造与装配技术、汽车制造与试验技术、汽车检测与维修技术的考生可报考。</w:t>
            </w:r>
            <w:r>
              <w:rPr>
                <w:rStyle w:val="6"/>
                <w:rFonts w:hint="default" w:ascii="PingFang400" w:hAnsi="PingFang400" w:eastAsia="PingFang400" w:cs="PingFang400"/>
                <w:color w:val="FF0000"/>
                <w:sz w:val="15"/>
                <w:szCs w:val="15"/>
              </w:rPr>
              <w:t>本专业为本科层次职业教育专业，在台州科技职业学院就读。</w:t>
            </w:r>
          </w:p>
        </w:tc>
      </w:tr>
    </w:tbl>
    <w:p w14:paraId="5803E50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4" w:lineRule="atLeast"/>
        <w:ind w:left="0" w:right="0" w:firstLine="420"/>
        <w:jc w:val="both"/>
        <w:rPr>
          <w:rFonts w:hint="default" w:ascii="PingFang400" w:hAnsi="PingFang400" w:eastAsia="PingFang400" w:cs="PingFang400"/>
        </w:rPr>
      </w:pPr>
    </w:p>
    <w:p w14:paraId="4CD634D9"/>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ingFang40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汉仪君黑-45简">
    <w:panose1 w:val="020B0604020202020204"/>
    <w:charset w:val="86"/>
    <w:family w:val="auto"/>
    <w:pitch w:val="default"/>
    <w:sig w:usb0="A00002BF" w:usb1="0ACF7CFA" w:usb2="00000016" w:usb3="00000000" w:csb0="2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D12BC0"/>
    <w:rsid w:val="2EB91385"/>
    <w:rsid w:val="473E2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779</Words>
  <Characters>813</Characters>
  <Lines>0</Lines>
  <Paragraphs>0</Paragraphs>
  <TotalTime>2</TotalTime>
  <ScaleCrop>false</ScaleCrop>
  <LinksUpToDate>false</LinksUpToDate>
  <CharactersWithSpaces>836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2025-03-09T10:46:00Z</dcterms:created>
  <dc:creator>DELL</dc:creator>
  <cp:lastModifiedBy>陈桉</cp:lastModifiedBy>
  <dcterms:modified xsi:type="dcterms:W3CDTF">2025-03-10T02:08:01Z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eyJoZGlkIjoiMDFhNDUwOTBhMDFkOGU0YTllMjA5MWU2Y2FlZmM1NzYiLCJ1c2VySWQiOiIxMDM1NTkxODM4In0=</vt:lpwstr>
  </property>
  <property fmtid="{D5CDD505-2E9C-101B-9397-08002B2CF9AE}" pid="4" name="ICV">
    <vt:lpwstr>3A36915EE3754FC9BA060C39BCC6AE68_12</vt:lpwstr>
  </property>
</Properties>
</file>