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80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300" w:lineRule="atLeast"/>
        <w:ind w:left="0" w:right="0"/>
        <w:jc w:val="center"/>
        <w:rPr>
          <w:b w:val="0"/>
          <w:bCs w:val="0"/>
          <w:color w:val="000000"/>
          <w:sz w:val="22"/>
          <w:szCs w:val="22"/>
        </w:rPr>
      </w:pPr>
      <w:r>
        <w:rPr>
          <w:b w:val="0"/>
          <w:bCs w:val="0"/>
          <w:color w:val="000000"/>
          <w:sz w:val="22"/>
          <w:szCs w:val="22"/>
          <w:bdr w:val="none" w:color="auto" w:sz="0" w:space="0"/>
        </w:rPr>
        <w:t>浙江机电职业技术大学 2025年退役大学生士兵免试专升本招生简章</w:t>
      </w:r>
    </w:p>
    <w:p w14:paraId="395DDA0E">
      <w:pPr>
        <w:keepNext w:val="0"/>
        <w:keepLines w:val="0"/>
        <w:widowControl/>
        <w:suppressLineNumbers w:val="0"/>
        <w:pBdr>
          <w:top w:val="none" w:color="auto" w:sz="0" w:space="0"/>
          <w:left w:val="none" w:color="auto" w:sz="0" w:space="0"/>
          <w:bottom w:val="dotted" w:color="CCCCCC" w:sz="4" w:space="3"/>
          <w:right w:val="none" w:color="auto" w:sz="0" w:space="0"/>
        </w:pBdr>
        <w:spacing w:before="200" w:beforeAutospacing="0" w:after="0" w:afterAutospacing="0" w:line="200" w:lineRule="atLeast"/>
        <w:ind w:left="0" w:right="0"/>
        <w:jc w:val="center"/>
        <w:rPr>
          <w:color w:val="777777"/>
          <w:sz w:val="12"/>
          <w:szCs w:val="12"/>
        </w:rPr>
      </w:pPr>
      <w:r>
        <w:rPr>
          <w:rFonts w:ascii="宋体" w:hAnsi="宋体" w:eastAsia="宋体" w:cs="宋体"/>
          <w:color w:val="777777"/>
          <w:kern w:val="0"/>
          <w:sz w:val="12"/>
          <w:szCs w:val="12"/>
          <w:bdr w:val="none" w:color="auto" w:sz="0" w:space="0"/>
          <w:lang w:val="en-US" w:eastAsia="zh-CN" w:bidi="ar"/>
        </w:rPr>
        <w:t>时间：2025-03-07 15:45:09    浏览次数：262         </w:t>
      </w:r>
      <w:r>
        <w:rPr>
          <w:rFonts w:ascii="宋体" w:hAnsi="宋体" w:eastAsia="宋体" w:cs="宋体"/>
          <w:color w:val="777777"/>
          <w:kern w:val="0"/>
          <w:sz w:val="12"/>
          <w:szCs w:val="12"/>
          <w:u w:val="none"/>
          <w:bdr w:val="none" w:color="auto" w:sz="0" w:space="0"/>
          <w:lang w:val="en-US" w:eastAsia="zh-CN" w:bidi="ar"/>
        </w:rPr>
        <w:t>大</w:t>
      </w:r>
      <w:r>
        <w:rPr>
          <w:rFonts w:ascii="宋体" w:hAnsi="宋体" w:eastAsia="宋体" w:cs="宋体"/>
          <w:color w:val="777777"/>
          <w:kern w:val="0"/>
          <w:sz w:val="12"/>
          <w:szCs w:val="12"/>
          <w:bdr w:val="none" w:color="auto" w:sz="0" w:space="0"/>
          <w:lang w:val="en-US" w:eastAsia="zh-CN" w:bidi="ar"/>
        </w:rPr>
        <w:t> </w:t>
      </w:r>
      <w:r>
        <w:rPr>
          <w:rFonts w:ascii="宋体" w:hAnsi="宋体" w:eastAsia="宋体" w:cs="宋体"/>
          <w:color w:val="777777"/>
          <w:kern w:val="0"/>
          <w:sz w:val="12"/>
          <w:szCs w:val="12"/>
          <w:u w:val="none"/>
          <w:bdr w:val="none" w:color="auto" w:sz="0" w:space="0"/>
          <w:lang w:val="en-US" w:eastAsia="zh-CN" w:bidi="ar"/>
        </w:rPr>
        <w:t>中</w:t>
      </w:r>
      <w:r>
        <w:rPr>
          <w:rFonts w:ascii="宋体" w:hAnsi="宋体" w:eastAsia="宋体" w:cs="宋体"/>
          <w:color w:val="777777"/>
          <w:kern w:val="0"/>
          <w:sz w:val="12"/>
          <w:szCs w:val="12"/>
          <w:bdr w:val="none" w:color="auto" w:sz="0" w:space="0"/>
          <w:lang w:val="en-US" w:eastAsia="zh-CN" w:bidi="ar"/>
        </w:rPr>
        <w:t> </w:t>
      </w:r>
      <w:r>
        <w:rPr>
          <w:rFonts w:ascii="宋体" w:hAnsi="宋体" w:eastAsia="宋体" w:cs="宋体"/>
          <w:color w:val="777777"/>
          <w:kern w:val="0"/>
          <w:sz w:val="12"/>
          <w:szCs w:val="12"/>
          <w:u w:val="none"/>
          <w:bdr w:val="none" w:color="auto" w:sz="0" w:space="0"/>
          <w:lang w:val="en-US" w:eastAsia="zh-CN" w:bidi="ar"/>
        </w:rPr>
        <w:t>小</w:t>
      </w:r>
    </w:p>
    <w:p w14:paraId="2235929D">
      <w:pPr>
        <w:pStyle w:val="3"/>
        <w:keepNext w:val="0"/>
        <w:keepLines w:val="0"/>
        <w:widowControl/>
        <w:suppressLineNumbers w:val="0"/>
        <w:shd w:val="clear" w:fill="FFFFFF"/>
        <w:spacing w:before="150" w:beforeAutospacing="0" w:after="0" w:afterAutospacing="0" w:line="370" w:lineRule="atLeast"/>
        <w:ind w:left="0" w:right="0" w:firstLine="1450"/>
        <w:jc w:val="both"/>
      </w:pPr>
    </w:p>
    <w:p w14:paraId="288BCE9C">
      <w:pPr>
        <w:pStyle w:val="3"/>
        <w:keepNext w:val="0"/>
        <w:keepLines w:val="0"/>
        <w:widowControl/>
        <w:suppressLineNumbers w:val="0"/>
        <w:shd w:val="clear" w:fill="FFFFFF"/>
        <w:bidi w:val="0"/>
        <w:spacing w:before="150" w:beforeAutospacing="0" w:after="0" w:afterAutospacing="0" w:line="370" w:lineRule="atLeast"/>
        <w:ind w:left="0" w:right="0" w:firstLine="0"/>
      </w:pPr>
      <w:r>
        <w:rPr>
          <w:rStyle w:val="6"/>
          <w:rFonts w:ascii="仿宋_GB2312" w:eastAsia="仿宋_GB2312" w:cs="仿宋_GB2312"/>
          <w:color w:val="333333"/>
          <w:spacing w:val="0"/>
          <w:sz w:val="21"/>
          <w:szCs w:val="21"/>
          <w:bdr w:val="none" w:color="auto" w:sz="0" w:space="0"/>
          <w:shd w:val="clear" w:fill="FFFFFF"/>
        </w:rPr>
        <w:t>       第一条</w:t>
      </w:r>
      <w:r>
        <w:rPr>
          <w:rFonts w:hint="default" w:ascii="仿宋_GB2312" w:eastAsia="仿宋_GB2312" w:cs="仿宋_GB2312"/>
          <w:color w:val="333333"/>
          <w:spacing w:val="0"/>
          <w:sz w:val="21"/>
          <w:szCs w:val="21"/>
          <w:bdr w:val="none" w:color="auto" w:sz="0" w:space="0"/>
          <w:shd w:val="clear" w:fill="FFFFFF"/>
        </w:rPr>
        <w:t> 根据《浙江省2025年退役大学生士兵免试专升本招生工作实施办法》的文件精神，结合学校实际，制定本简章。</w:t>
      </w:r>
    </w:p>
    <w:p w14:paraId="4629AD75">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第二条</w:t>
      </w:r>
      <w:r>
        <w:rPr>
          <w:rFonts w:hint="default" w:ascii="仿宋_GB2312" w:eastAsia="仿宋_GB2312" w:cs="仿宋_GB2312"/>
          <w:color w:val="333333"/>
          <w:spacing w:val="0"/>
          <w:sz w:val="21"/>
          <w:szCs w:val="21"/>
          <w:bdr w:val="none" w:color="auto" w:sz="0" w:space="0"/>
          <w:shd w:val="clear" w:fill="FFFFFF"/>
        </w:rPr>
        <w:t> 学校招生工作严格执行教育部和省级招生主管部门的相关政策和规定，实施“阳光工程”，严格执行招生工作“六公开”、“六不准”，坚持公开、公平、公正、择优录取的原则。</w:t>
      </w:r>
      <w:r>
        <w:rPr>
          <w:rFonts w:hint="default" w:ascii="仿宋_GB2312" w:eastAsia="仿宋_GB2312" w:cs="仿宋_GB2312"/>
          <w:color w:val="333333"/>
          <w:spacing w:val="0"/>
          <w:sz w:val="21"/>
          <w:szCs w:val="21"/>
          <w:bdr w:val="none" w:color="auto" w:sz="0" w:space="0"/>
          <w:shd w:val="clear" w:fill="FFFFFF"/>
        </w:rPr>
        <w:br w:type="textWrapping"/>
      </w:r>
      <w:r>
        <w:rPr>
          <w:rStyle w:val="6"/>
          <w:rFonts w:hint="default" w:ascii="仿宋_GB2312" w:eastAsia="仿宋_GB2312" w:cs="仿宋_GB2312"/>
          <w:color w:val="333333"/>
          <w:spacing w:val="0"/>
          <w:sz w:val="21"/>
          <w:szCs w:val="21"/>
          <w:bdr w:val="none" w:color="auto" w:sz="0" w:space="0"/>
          <w:shd w:val="clear" w:fill="FFFFFF"/>
        </w:rPr>
        <w:t>       第三条</w:t>
      </w:r>
      <w:r>
        <w:rPr>
          <w:rFonts w:hint="default" w:ascii="仿宋_GB2312" w:eastAsia="仿宋_GB2312" w:cs="仿宋_GB2312"/>
          <w:color w:val="333333"/>
          <w:spacing w:val="0"/>
          <w:sz w:val="21"/>
          <w:szCs w:val="21"/>
          <w:bdr w:val="none" w:color="auto" w:sz="0" w:space="0"/>
          <w:shd w:val="clear" w:fill="FFFFFF"/>
        </w:rPr>
        <w:t> 学校全称：浙江机电职业技术大学，省内代码：0045。</w:t>
      </w:r>
      <w:r>
        <w:rPr>
          <w:rFonts w:hint="default" w:ascii="仿宋_GB2312" w:eastAsia="仿宋_GB2312" w:cs="仿宋_GB2312"/>
          <w:color w:val="333333"/>
          <w:spacing w:val="0"/>
          <w:sz w:val="21"/>
          <w:szCs w:val="21"/>
          <w:bdr w:val="none" w:color="auto" w:sz="0" w:space="0"/>
          <w:shd w:val="clear" w:fill="FFFFFF"/>
        </w:rPr>
        <w:br w:type="textWrapping"/>
      </w:r>
      <w:r>
        <w:rPr>
          <w:rFonts w:hint="default" w:ascii="仿宋_GB2312" w:eastAsia="仿宋_GB2312" w:cs="仿宋_GB2312"/>
          <w:color w:val="333333"/>
          <w:spacing w:val="0"/>
          <w:sz w:val="21"/>
          <w:szCs w:val="21"/>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第四条</w:t>
      </w:r>
      <w:r>
        <w:rPr>
          <w:rFonts w:hint="default" w:ascii="仿宋_GB2312" w:eastAsia="仿宋_GB2312" w:cs="仿宋_GB2312"/>
          <w:color w:val="333333"/>
          <w:spacing w:val="0"/>
          <w:sz w:val="21"/>
          <w:szCs w:val="21"/>
          <w:bdr w:val="none" w:color="auto" w:sz="0" w:space="0"/>
          <w:shd w:val="clear" w:fill="FFFFFF"/>
        </w:rPr>
        <w:t> 办学性质：全日制公办本科，为国家示范性高等职业院校、国家“双高计划”建设高校（A档）、浙江省重点建设高职院校，有留学生及港澳台招生资格高校。</w:t>
      </w:r>
      <w:r>
        <w:rPr>
          <w:rFonts w:hint="default" w:ascii="仿宋_GB2312" w:eastAsia="仿宋_GB2312" w:cs="仿宋_GB2312"/>
          <w:color w:val="333333"/>
          <w:spacing w:val="0"/>
          <w:sz w:val="21"/>
          <w:szCs w:val="21"/>
          <w:bdr w:val="none" w:color="auto" w:sz="0" w:space="0"/>
          <w:shd w:val="clear" w:fill="FFFFFF"/>
        </w:rPr>
        <w:br w:type="textWrapping"/>
      </w:r>
      <w:r>
        <w:rPr>
          <w:rFonts w:hint="default" w:ascii="仿宋_GB2312" w:eastAsia="仿宋_GB2312" w:cs="仿宋_GB2312"/>
          <w:color w:val="333333"/>
          <w:spacing w:val="0"/>
          <w:sz w:val="21"/>
          <w:szCs w:val="21"/>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第五条</w:t>
      </w:r>
      <w:r>
        <w:rPr>
          <w:rFonts w:hint="default" w:ascii="仿宋_GB2312" w:eastAsia="仿宋_GB2312" w:cs="仿宋_GB2312"/>
          <w:color w:val="333333"/>
          <w:spacing w:val="0"/>
          <w:sz w:val="21"/>
          <w:szCs w:val="21"/>
          <w:bdr w:val="none" w:color="auto" w:sz="0" w:space="0"/>
          <w:shd w:val="clear" w:fill="FFFFFF"/>
        </w:rPr>
        <w:t> 颁发毕业证书及学位证书的学校名称：浙江机电职业技术大学。</w:t>
      </w:r>
    </w:p>
    <w:p w14:paraId="31E85691">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第六条</w:t>
      </w:r>
      <w:r>
        <w:rPr>
          <w:rFonts w:hint="default" w:ascii="仿宋_GB2312" w:eastAsia="仿宋_GB2312" w:cs="仿宋_GB2312"/>
          <w:color w:val="333333"/>
          <w:spacing w:val="0"/>
          <w:sz w:val="21"/>
          <w:szCs w:val="21"/>
          <w:bdr w:val="none" w:color="auto" w:sz="0" w:space="0"/>
          <w:shd w:val="clear" w:fill="FFFFFF"/>
        </w:rPr>
        <w:t> 就学地点：滨江校区、海宁校区（详见招生计划表）。</w:t>
      </w:r>
      <w:r>
        <w:rPr>
          <w:rFonts w:hint="default" w:ascii="仿宋_GB2312" w:eastAsia="仿宋_GB2312" w:cs="仿宋_GB2312"/>
          <w:color w:val="333333"/>
          <w:spacing w:val="0"/>
          <w:sz w:val="21"/>
          <w:szCs w:val="21"/>
          <w:bdr w:val="none" w:color="auto" w:sz="0" w:space="0"/>
          <w:shd w:val="clear" w:fill="FFFFFF"/>
        </w:rPr>
        <w:br w:type="textWrapping"/>
      </w:r>
      <w:r>
        <w:rPr>
          <w:rFonts w:hint="default" w:ascii="仿宋_GB2312" w:eastAsia="仿宋_GB2312" w:cs="仿宋_GB2312"/>
          <w:color w:val="333333"/>
          <w:spacing w:val="0"/>
          <w:sz w:val="21"/>
          <w:szCs w:val="21"/>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第七条</w:t>
      </w:r>
      <w:r>
        <w:rPr>
          <w:rFonts w:hint="default" w:ascii="仿宋_GB2312" w:eastAsia="仿宋_GB2312" w:cs="仿宋_GB2312"/>
          <w:color w:val="333333"/>
          <w:spacing w:val="0"/>
          <w:sz w:val="21"/>
          <w:szCs w:val="21"/>
          <w:bdr w:val="none" w:color="auto" w:sz="0" w:space="0"/>
          <w:shd w:val="clear" w:fill="FFFFFF"/>
        </w:rPr>
        <w:t> 学校在招生工作领导小组领导下成立退役大学生士兵免试专升本招生工作项目组，确保退役大学生士兵免试专升本各项工作有序推进。</w:t>
      </w:r>
    </w:p>
    <w:p w14:paraId="13E5C260">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第八条</w:t>
      </w:r>
      <w:r>
        <w:rPr>
          <w:rFonts w:hint="default" w:ascii="仿宋_GB2312" w:eastAsia="仿宋_GB2312" w:cs="仿宋_GB2312"/>
          <w:color w:val="333333"/>
          <w:spacing w:val="0"/>
          <w:sz w:val="21"/>
          <w:szCs w:val="21"/>
          <w:bdr w:val="none" w:color="auto" w:sz="0" w:space="0"/>
          <w:shd w:val="clear" w:fill="FFFFFF"/>
        </w:rPr>
        <w:t> 报考条件</w:t>
      </w:r>
    </w:p>
    <w:p w14:paraId="476DF01A">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1.普通高校高职（专科）毕业生及在校生（含高校新生）在浙江省应征入伍，退役后完成高职（专科）学业。</w:t>
      </w:r>
    </w:p>
    <w:p w14:paraId="4DE895A1">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2.遵守中华人民共和国宪法和法律。</w:t>
      </w:r>
    </w:p>
    <w:p w14:paraId="757E9308">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3.身体健康，各专业身体要求按《普通高等学校招生体检工作指导意见》执行。</w:t>
      </w:r>
    </w:p>
    <w:p w14:paraId="50A1EF5D">
      <w:pPr>
        <w:pStyle w:val="3"/>
        <w:keepNext w:val="0"/>
        <w:keepLines w:val="0"/>
        <w:widowControl/>
        <w:suppressLineNumbers w:val="0"/>
        <w:shd w:val="clear" w:fill="FFFFFF"/>
        <w:spacing w:before="150" w:beforeAutospacing="0" w:after="0" w:afterAutospacing="0" w:line="370" w:lineRule="atLeast"/>
        <w:ind w:left="0" w:right="0" w:firstLine="420"/>
      </w:pPr>
      <w:r>
        <w:rPr>
          <w:rStyle w:val="6"/>
          <w:rFonts w:hint="default" w:ascii="仿宋_GB2312" w:eastAsia="仿宋_GB2312" w:cs="仿宋_GB2312"/>
          <w:color w:val="333333"/>
          <w:sz w:val="21"/>
          <w:szCs w:val="21"/>
          <w:bdr w:val="none" w:color="auto" w:sz="0" w:space="0"/>
          <w:shd w:val="clear" w:fill="FFFFFF"/>
        </w:rPr>
        <w:t>  第九条</w:t>
      </w:r>
      <w:r>
        <w:rPr>
          <w:rFonts w:hint="default" w:ascii="仿宋_GB2312" w:eastAsia="仿宋_GB2312" w:cs="仿宋_GB2312"/>
          <w:color w:val="333333"/>
          <w:sz w:val="21"/>
          <w:szCs w:val="21"/>
          <w:bdr w:val="none" w:color="auto" w:sz="0" w:space="0"/>
          <w:shd w:val="clear" w:fill="FFFFFF"/>
        </w:rPr>
        <w:t> 招生计划</w:t>
      </w:r>
      <w:r>
        <w:rPr>
          <w:rStyle w:val="6"/>
          <w:rFonts w:ascii="微软雅黑" w:hAnsi="微软雅黑" w:eastAsia="微软雅黑" w:cs="微软雅黑"/>
          <w:color w:val="333333"/>
          <w:spacing w:val="0"/>
          <w:sz w:val="14"/>
          <w:szCs w:val="14"/>
          <w:bdr w:val="none" w:color="auto" w:sz="0" w:space="0"/>
          <w:shd w:val="clear" w:fill="FFFFFF"/>
        </w:rPr>
        <w:t>   </w:t>
      </w:r>
    </w:p>
    <w:p w14:paraId="2AD1FB24">
      <w:pPr>
        <w:pStyle w:val="3"/>
        <w:keepNext w:val="0"/>
        <w:keepLines w:val="0"/>
        <w:widowControl/>
        <w:suppressLineNumbers w:val="0"/>
        <w:shd w:val="clear" w:fill="FFFFFF"/>
        <w:spacing w:before="150" w:beforeAutospacing="0" w:after="70" w:afterAutospacing="0" w:line="370" w:lineRule="atLeast"/>
        <w:ind w:left="0" w:right="0"/>
        <w:jc w:val="center"/>
      </w:pPr>
      <w:r>
        <w:rPr>
          <w:rStyle w:val="6"/>
          <w:rFonts w:hint="eastAsia" w:ascii="微软雅黑" w:hAnsi="微软雅黑" w:eastAsia="微软雅黑" w:cs="微软雅黑"/>
          <w:color w:val="333333"/>
          <w:spacing w:val="0"/>
          <w:sz w:val="14"/>
          <w:szCs w:val="14"/>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2025年退役大学生士兵免试专升本计划表</w:t>
      </w:r>
    </w:p>
    <w:tbl>
      <w:tblPr>
        <w:tblW w:w="671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
        <w:gridCol w:w="1330"/>
        <w:gridCol w:w="462"/>
        <w:gridCol w:w="598"/>
        <w:gridCol w:w="3900"/>
      </w:tblGrid>
      <w:tr w14:paraId="5AB1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blCellSpacing w:w="0" w:type="dxa"/>
          <w:jc w:val="center"/>
        </w:trPr>
        <w:tc>
          <w:tcPr>
            <w:tcW w:w="380" w:type="dxa"/>
            <w:tcBorders>
              <w:top w:val="single" w:color="000000" w:sz="4" w:space="0"/>
              <w:left w:val="single" w:color="000000" w:sz="4" w:space="0"/>
              <w:bottom w:val="single" w:color="000000" w:sz="4" w:space="0"/>
              <w:right w:val="single" w:color="000000" w:sz="4" w:space="0"/>
            </w:tcBorders>
            <w:shd w:val="clear"/>
            <w:noWrap/>
            <w:tcMar>
              <w:top w:w="0" w:type="dxa"/>
              <w:left w:w="70" w:type="dxa"/>
              <w:bottom w:w="0" w:type="dxa"/>
              <w:right w:w="70" w:type="dxa"/>
            </w:tcMar>
            <w:vAlign w:val="center"/>
          </w:tcPr>
          <w:p w14:paraId="1FDF18F5">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类别</w:t>
            </w:r>
          </w:p>
        </w:tc>
        <w:tc>
          <w:tcPr>
            <w:tcW w:w="1190" w:type="dxa"/>
            <w:tcBorders>
              <w:top w:val="single" w:color="000000"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516F1507">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专业名称</w:t>
            </w:r>
          </w:p>
        </w:tc>
        <w:tc>
          <w:tcPr>
            <w:tcW w:w="560" w:type="dxa"/>
            <w:tcBorders>
              <w:top w:val="single" w:color="000000" w:sz="4" w:space="0"/>
              <w:left w:val="single" w:color="auto" w:sz="4" w:space="0"/>
              <w:bottom w:val="single" w:color="000000" w:sz="4" w:space="0"/>
              <w:right w:val="single" w:color="000000" w:sz="4" w:space="0"/>
            </w:tcBorders>
            <w:shd w:val="clear"/>
            <w:tcMar>
              <w:top w:w="0" w:type="dxa"/>
              <w:left w:w="70" w:type="dxa"/>
              <w:bottom w:w="0" w:type="dxa"/>
              <w:right w:w="70" w:type="dxa"/>
            </w:tcMar>
            <w:vAlign w:val="center"/>
          </w:tcPr>
          <w:p w14:paraId="40CABB84">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招生计划数</w:t>
            </w:r>
          </w:p>
        </w:tc>
        <w:tc>
          <w:tcPr>
            <w:tcW w:w="700" w:type="dxa"/>
            <w:tcBorders>
              <w:top w:val="single" w:color="000000" w:sz="4" w:space="0"/>
              <w:left w:val="single" w:color="auto" w:sz="4" w:space="0"/>
              <w:bottom w:val="single" w:color="000000" w:sz="4" w:space="0"/>
              <w:right w:val="single" w:color="000000" w:sz="4" w:space="0"/>
            </w:tcBorders>
            <w:shd w:val="clear"/>
            <w:tcMar>
              <w:top w:w="0" w:type="dxa"/>
              <w:left w:w="70" w:type="dxa"/>
              <w:bottom w:w="0" w:type="dxa"/>
              <w:right w:w="70" w:type="dxa"/>
            </w:tcMar>
            <w:vAlign w:val="center"/>
          </w:tcPr>
          <w:p w14:paraId="31087E88">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学费参考</w:t>
            </w:r>
            <w:r>
              <w:rPr>
                <w:rFonts w:hint="eastAsia" w:ascii="宋体" w:hAnsi="宋体" w:eastAsia="宋体" w:cs="宋体"/>
                <w:sz w:val="13"/>
                <w:szCs w:val="13"/>
                <w:bdr w:val="none" w:color="auto" w:sz="0" w:space="0"/>
              </w:rPr>
              <w:br w:type="textWrapping"/>
            </w:r>
            <w:r>
              <w:rPr>
                <w:rFonts w:hint="eastAsia" w:ascii="宋体" w:hAnsi="宋体" w:eastAsia="宋体" w:cs="宋体"/>
                <w:sz w:val="13"/>
                <w:szCs w:val="13"/>
                <w:bdr w:val="none" w:color="auto" w:sz="0" w:space="0"/>
              </w:rPr>
              <w:t>（元/年）</w:t>
            </w:r>
          </w:p>
        </w:tc>
        <w:tc>
          <w:tcPr>
            <w:tcW w:w="3880" w:type="dxa"/>
            <w:tcBorders>
              <w:top w:val="single" w:color="000000"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34BB4A9D">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备注</w:t>
            </w:r>
          </w:p>
        </w:tc>
      </w:tr>
      <w:tr w14:paraId="1034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30" w:hRule="atLeast"/>
          <w:tblCellSpacing w:w="0" w:type="dxa"/>
          <w:jc w:val="center"/>
        </w:trPr>
        <w:tc>
          <w:tcPr>
            <w:tcW w:w="0" w:type="auto"/>
            <w:tcBorders>
              <w:top w:val="single" w:color="auto" w:sz="4" w:space="0"/>
              <w:left w:val="single" w:color="000000" w:sz="4" w:space="0"/>
              <w:bottom w:val="single" w:color="000000" w:sz="4" w:space="0"/>
              <w:right w:val="single" w:color="000000" w:sz="4" w:space="0"/>
            </w:tcBorders>
            <w:shd w:val="clear"/>
            <w:noWrap/>
            <w:tcMar>
              <w:top w:w="0" w:type="dxa"/>
              <w:left w:w="70" w:type="dxa"/>
              <w:bottom w:w="0" w:type="dxa"/>
              <w:right w:w="70" w:type="dxa"/>
            </w:tcMar>
            <w:vAlign w:val="center"/>
          </w:tcPr>
          <w:p w14:paraId="34E80507">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理工</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2CEDAB95">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机械电子工程技术</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7E7D206D">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45</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2832A12B">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7590</w:t>
            </w:r>
          </w:p>
        </w:tc>
        <w:tc>
          <w:tcPr>
            <w:tcW w:w="3880" w:type="dxa"/>
            <w:tcBorders>
              <w:top w:val="single" w:color="auto" w:sz="4" w:space="0"/>
              <w:left w:val="single" w:color="auto" w:sz="4" w:space="0"/>
              <w:bottom w:val="single" w:color="000000" w:sz="4" w:space="0"/>
              <w:right w:val="single" w:color="000000" w:sz="4" w:space="0"/>
            </w:tcBorders>
            <w:shd w:val="clear"/>
            <w:tcMar>
              <w:top w:w="0" w:type="dxa"/>
              <w:left w:w="70" w:type="dxa"/>
              <w:bottom w:w="0" w:type="dxa"/>
              <w:right w:w="70" w:type="dxa"/>
            </w:tcMar>
            <w:vAlign w:val="center"/>
          </w:tcPr>
          <w:p w14:paraId="1FF696A9">
            <w:pPr>
              <w:pStyle w:val="3"/>
              <w:keepNext w:val="0"/>
              <w:keepLines w:val="0"/>
              <w:widowControl/>
              <w:suppressLineNumbers w:val="0"/>
              <w:ind w:left="0" w:firstLine="210"/>
              <w:textAlignment w:val="center"/>
            </w:pPr>
            <w:r>
              <w:rPr>
                <w:rFonts w:hint="default" w:ascii="仿宋_GB2312" w:eastAsia="仿宋_GB2312" w:cs="仿宋_GB2312"/>
                <w:sz w:val="11"/>
                <w:szCs w:val="11"/>
                <w:bdr w:val="none" w:color="auto" w:sz="0" w:space="0"/>
              </w:rPr>
              <w:t>高职高专阶段所学专业为城市轨道交通车辆技术、城市轨道车辆应用技术、城市轨道交通机电技术、船舶电气工程技术、船舶电子电气技术、船舶工程技术、电力系统自动化技术、电气自动化技术、电梯工程技术、电子信息工程技术、发电厂及电力系统、港口机械与自动控制、港口机械与智能控制、工业过程自动化技术、工业互联网应用、工业机器人技术、供热通风与空调工程技术、光伏工程技术、光通信技术、现代通信技术、机电一体化技术、机械制造与自动化、机械制造及自动化、集成电路技术应用、集成电路技术、计量测试与应用技术、建筑电气工程技术、建筑智能化工程技术、精密机械技术、轮机工程技术、汽车电子技术、人工智能技术服务、人工智能技术应用、声像工程技术、应用电子技术、通信技术、物联网应用技术、消防工程技术、建筑消防技术、移动通信技术、现代移动通信技术、智能产品开发、智能产品开发与应用、智能监控技术应用、智能控制技术的考生可报考。在海宁校区就读。</w:t>
            </w:r>
          </w:p>
        </w:tc>
      </w:tr>
      <w:tr w14:paraId="4B13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blCellSpacing w:w="0" w:type="dxa"/>
          <w:jc w:val="center"/>
        </w:trPr>
        <w:tc>
          <w:tcPr>
            <w:tcW w:w="0" w:type="auto"/>
            <w:tcBorders>
              <w:top w:val="single" w:color="auto" w:sz="4" w:space="0"/>
              <w:left w:val="single" w:color="000000" w:sz="4" w:space="0"/>
              <w:bottom w:val="single" w:color="000000" w:sz="4" w:space="0"/>
              <w:right w:val="single" w:color="000000" w:sz="4" w:space="0"/>
            </w:tcBorders>
            <w:shd w:val="clear"/>
            <w:noWrap/>
            <w:tcMar>
              <w:top w:w="0" w:type="dxa"/>
              <w:left w:w="70" w:type="dxa"/>
              <w:bottom w:w="0" w:type="dxa"/>
              <w:right w:w="70" w:type="dxa"/>
            </w:tcMar>
            <w:vAlign w:val="center"/>
          </w:tcPr>
          <w:p w14:paraId="12DD9318">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理工</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036D33A4">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材料成型及控制工程</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17249218">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45</w:t>
            </w:r>
          </w:p>
        </w:tc>
        <w:tc>
          <w:tcPr>
            <w:tcW w:w="0" w:type="auto"/>
            <w:tcBorders>
              <w:top w:val="single" w:color="auto" w:sz="4" w:space="0"/>
              <w:left w:val="single" w:color="auto" w:sz="4" w:space="0"/>
              <w:bottom w:val="single" w:color="000000" w:sz="4" w:space="0"/>
              <w:right w:val="single" w:color="000000" w:sz="4" w:space="0"/>
            </w:tcBorders>
            <w:shd w:val="clear"/>
            <w:noWrap/>
            <w:tcMar>
              <w:top w:w="0" w:type="dxa"/>
              <w:left w:w="70" w:type="dxa"/>
              <w:bottom w:w="0" w:type="dxa"/>
              <w:right w:w="70" w:type="dxa"/>
            </w:tcMar>
            <w:vAlign w:val="center"/>
          </w:tcPr>
          <w:p w14:paraId="44D3816B">
            <w:pPr>
              <w:pStyle w:val="3"/>
              <w:keepNext w:val="0"/>
              <w:keepLines w:val="0"/>
              <w:widowControl/>
              <w:suppressLineNumbers w:val="0"/>
              <w:spacing w:line="370" w:lineRule="atLeast"/>
              <w:jc w:val="center"/>
              <w:textAlignment w:val="center"/>
            </w:pPr>
            <w:r>
              <w:rPr>
                <w:rFonts w:hint="eastAsia" w:ascii="宋体" w:hAnsi="宋体" w:eastAsia="宋体" w:cs="宋体"/>
                <w:sz w:val="13"/>
                <w:szCs w:val="13"/>
                <w:bdr w:val="none" w:color="auto" w:sz="0" w:space="0"/>
              </w:rPr>
              <w:t>6600</w:t>
            </w:r>
          </w:p>
        </w:tc>
        <w:tc>
          <w:tcPr>
            <w:tcW w:w="3880" w:type="dxa"/>
            <w:tcBorders>
              <w:top w:val="single" w:color="auto" w:sz="4" w:space="0"/>
              <w:left w:val="single" w:color="auto" w:sz="4" w:space="0"/>
              <w:bottom w:val="single" w:color="000000" w:sz="4" w:space="0"/>
              <w:right w:val="single" w:color="000000" w:sz="4" w:space="0"/>
            </w:tcBorders>
            <w:shd w:val="clear"/>
            <w:tcMar>
              <w:top w:w="0" w:type="dxa"/>
              <w:left w:w="70" w:type="dxa"/>
              <w:bottom w:w="0" w:type="dxa"/>
              <w:right w:w="70" w:type="dxa"/>
            </w:tcMar>
            <w:vAlign w:val="center"/>
          </w:tcPr>
          <w:p w14:paraId="1292AC53">
            <w:pPr>
              <w:pStyle w:val="3"/>
              <w:keepNext w:val="0"/>
              <w:keepLines w:val="0"/>
              <w:widowControl/>
              <w:suppressLineNumbers w:val="0"/>
              <w:ind w:left="0" w:firstLine="210"/>
              <w:textAlignment w:val="center"/>
            </w:pPr>
            <w:r>
              <w:rPr>
                <w:rFonts w:hint="default" w:ascii="仿宋_GB2312" w:eastAsia="仿宋_GB2312" w:cs="仿宋_GB2312"/>
                <w:sz w:val="11"/>
                <w:szCs w:val="11"/>
                <w:bdr w:val="none" w:color="auto" w:sz="0" w:space="0"/>
              </w:rPr>
              <w:t>高职高专阶段所学专业为发电厂及电力系统、电力系统自动化技术、电厂热能动力装置、材料工程技术、建筑电气工程技术、机械设计与制造、机械制造与自动化、机械制造及自动化、数控技术、精密机械技术、材料成型与控制技术、材料成型及控制技术、机械产品检测检验技术、理化测试与质检技术、模具设计与制造、电机与电器技术、机械装备制造技术、工业工程技术、机电设备维修与管理、数控设备应用与维护、智能制造装备技术、光电制造与应用技术、智能光电制造技术、机电一体化技术、电气自动化技术、工业过程自动化技术、智能控制技术、电梯工程技术、工业机器人技术、船舶工程技术、船舶电气工程技术、飞行器制造技术、飞行器数字化制造技术、无人机应用技术、汽车制造与装配技术、汽车制造与试验技术、汽车检测与维修技术、汽车电子技术、新能源汽车技术、纺织机电技术、汽车运用与维修技术、汽车车身维修技术、港口机械与自动控制、港口机械与智能控制、飞机机电设备维修、城市轨道交通机电技术、电子信息工程技术、应用电子技术、智能产品开发、智能产品开发与应用、智能监控技术应用、汽车智能技术、电子制造技术与设备、电子测量技术与仪器、声像工程技术、光伏工程技术、物联网应用技术、计算机应用技术、计算机网络技术、计算机信息管理、大数据技术、移动应用开发、云计算技术与应用、云计算技术应用、大数据技术与应用、虚拟现实应用技术、虚拟现实技术应用、通信技术、现代通信技术、光通信技术的考生可报考。在滨江校区就读。</w:t>
            </w:r>
          </w:p>
          <w:p w14:paraId="1EE6A375">
            <w:pPr>
              <w:pStyle w:val="3"/>
              <w:keepNext w:val="0"/>
              <w:keepLines w:val="0"/>
              <w:widowControl/>
              <w:suppressLineNumbers w:val="0"/>
            </w:pPr>
          </w:p>
        </w:tc>
      </w:tr>
    </w:tbl>
    <w:p w14:paraId="74830C0A">
      <w:pPr>
        <w:pStyle w:val="3"/>
        <w:keepNext w:val="0"/>
        <w:keepLines w:val="0"/>
        <w:widowControl/>
        <w:suppressLineNumbers w:val="0"/>
        <w:spacing w:before="150" w:beforeAutospacing="0" w:after="0" w:afterAutospacing="0" w:line="300" w:lineRule="atLeast"/>
        <w:ind w:left="0" w:right="0"/>
      </w:pPr>
      <w:r>
        <w:rPr>
          <w:rStyle w:val="6"/>
          <w:rFonts w:hint="eastAsia" w:ascii="微软雅黑" w:hAnsi="微软雅黑" w:eastAsia="微软雅黑" w:cs="微软雅黑"/>
          <w:color w:val="333333"/>
          <w:sz w:val="14"/>
          <w:szCs w:val="14"/>
          <w:bdr w:val="none" w:color="auto" w:sz="0" w:space="0"/>
        </w:rPr>
        <w:t>              </w:t>
      </w:r>
    </w:p>
    <w:p w14:paraId="079883A4">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注：1.按照专业对口原则实施招生，考生高职高专阶段所学专业须符合所报专业志愿的限报专业要求。</w:t>
      </w:r>
    </w:p>
    <w:p w14:paraId="68CE4B91">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2.具体招生专业、招生计划以浙江省教育考试院公布为准。</w:t>
      </w:r>
    </w:p>
    <w:p w14:paraId="57D972DC">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第十条</w:t>
      </w:r>
      <w:r>
        <w:rPr>
          <w:rFonts w:hint="default" w:ascii="仿宋_GB2312" w:eastAsia="仿宋_GB2312" w:cs="仿宋_GB2312"/>
          <w:color w:val="333333"/>
          <w:spacing w:val="0"/>
          <w:sz w:val="21"/>
          <w:szCs w:val="21"/>
          <w:bdr w:val="none" w:color="auto" w:sz="0" w:space="0"/>
          <w:shd w:val="clear" w:fill="FFFFFF"/>
        </w:rPr>
        <w:t> 综合测试</w:t>
      </w:r>
    </w:p>
    <w:p w14:paraId="23B873EA">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1.若浙江省教育考试院提供的当轮考生名单数少于或等于对应招生类别和对应招生专业志愿的计划数，符合报考资格的考生均录取，不再组织本轮综合测试。</w:t>
      </w:r>
    </w:p>
    <w:p w14:paraId="1994F315">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2.若专业第一志愿填报人数大于招生类别和对应招生专业志愿的计划数，学校将组织综合测试，所有第一志愿填报我校的考生均需参加综合测试，未参加测试的考生不能进入后续的录取环节。 </w:t>
      </w:r>
    </w:p>
    <w:p w14:paraId="15EF4334">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3.入伍期间荣立个人三等功（含）以上的考生免于综合测试，优先录取。</w:t>
      </w:r>
    </w:p>
    <w:p w14:paraId="1A059488">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4.综合测试形式为笔试，具体测试时间安排以学校招生网（https://zs.zime.edu.cn/）通知为准，请报名考生随时关注，并及时打印准考证。</w:t>
      </w:r>
    </w:p>
    <w:p w14:paraId="32710A97">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5.若笔试出现同分情况，同分考生加试一轮复试。复试具体形式以学校招生网（https://zs.zime.edu.cn/）通知为准。</w:t>
      </w:r>
    </w:p>
    <w:p w14:paraId="35FCB15B">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6.参照《关于普通高校专升本和“2+2”招生考试收费标准的复函》（浙价费〔2005〕17号），我校综合测试费标准为110元/人，逾期未交纳者视为自动放弃综合测试资格。因个人原因未参加学校综合测试者，测试费不予退还。</w:t>
      </w:r>
      <w:r>
        <w:rPr>
          <w:rFonts w:hint="default" w:ascii="仿宋_GB2312" w:eastAsia="仿宋_GB2312" w:cs="仿宋_GB2312"/>
          <w:color w:val="333333"/>
          <w:spacing w:val="0"/>
          <w:sz w:val="21"/>
          <w:szCs w:val="21"/>
          <w:bdr w:val="none" w:color="auto" w:sz="0" w:space="0"/>
          <w:shd w:val="clear" w:fill="FFFFFF"/>
        </w:rPr>
        <w:br w:type="textWrapping"/>
      </w:r>
      <w:r>
        <w:rPr>
          <w:rFonts w:hint="default" w:ascii="仿宋_GB2312" w:eastAsia="仿宋_GB2312" w:cs="仿宋_GB2312"/>
          <w:color w:val="333333"/>
          <w:spacing w:val="0"/>
          <w:sz w:val="21"/>
          <w:szCs w:val="21"/>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第十一条</w:t>
      </w:r>
      <w:r>
        <w:rPr>
          <w:rFonts w:hint="default" w:ascii="仿宋_GB2312" w:eastAsia="仿宋_GB2312" w:cs="仿宋_GB2312"/>
          <w:color w:val="333333"/>
          <w:spacing w:val="0"/>
          <w:sz w:val="21"/>
          <w:szCs w:val="21"/>
          <w:bdr w:val="none" w:color="auto" w:sz="0" w:space="0"/>
          <w:shd w:val="clear" w:fill="FFFFFF"/>
        </w:rPr>
        <w:t> 录取规则</w:t>
      </w:r>
    </w:p>
    <w:p w14:paraId="23655C89">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1.录取工作贯彻公开、公平、公正原则，实行“招生高校负责、省教育考试院监督”体制。</w:t>
      </w:r>
    </w:p>
    <w:p w14:paraId="3FE2C272">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2.根据浙江省教育考试院投档到我校的第一志愿考生名单，若提供的当轮考生名单数少于或等于专业计划数，符合报考资格的考生均录取；若专业第一志愿填报人数大于专业计划数，则按照招生计划数1:1，根据综合测试成绩，实行“分数优先，遵循志愿”的原则，择优录取，直至满额，专业志愿间不设级差。</w:t>
      </w:r>
    </w:p>
    <w:p w14:paraId="0D74BE30">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3.学校对所填专业志愿均不能满足的考生，作退档处理。未被我校录取的，进入后续志愿的投档程序。</w:t>
      </w:r>
    </w:p>
    <w:p w14:paraId="0535EE09">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4.当一志愿录取未满时，后续志愿录取形式类比一志愿录取。学校录取进程及结果按照教育部和浙江省教育考试院的有关要求及规定的形式进行公布。考生可登陆学校招生网站查询。</w:t>
      </w:r>
    </w:p>
    <w:p w14:paraId="24089B80">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5.对非应届考生，学校将于4月底之前公布正式录取结果。对预录取的应届毕业生，应在2025年7月15日前取得高职高专毕业证书，不能如期毕业者取消录取资格。我校按审核通过的名单办理录取手续，并寄发录取通知书。</w:t>
      </w:r>
    </w:p>
    <w:p w14:paraId="7A5A42E0">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6.免试专升本已录取的不再参加后续普通高校专升本选拔考试录取。</w:t>
      </w:r>
    </w:p>
    <w:p w14:paraId="0A9D881C">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7.凡录取后未报到、自行放弃入学资格的考生，此后不再享受免试政策。</w:t>
      </w:r>
    </w:p>
    <w:p w14:paraId="29F2C0C9">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第十二条</w:t>
      </w:r>
      <w:r>
        <w:rPr>
          <w:rFonts w:hint="default" w:ascii="仿宋_GB2312" w:eastAsia="仿宋_GB2312" w:cs="仿宋_GB2312"/>
          <w:color w:val="333333"/>
          <w:spacing w:val="0"/>
          <w:sz w:val="21"/>
          <w:szCs w:val="21"/>
          <w:bdr w:val="none" w:color="auto" w:sz="0" w:space="0"/>
          <w:shd w:val="clear" w:fill="FFFFFF"/>
        </w:rPr>
        <w:t> 报到注册和学籍管理</w:t>
      </w:r>
    </w:p>
    <w:p w14:paraId="0BF34D0A">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新生凭“录取通知书”和2025年7月15日前取得的普通高校高职高专毕业证书原件及退役证件报到注册，缺一不予报到。专升本学生为全日制普通高等学校学生，学制两年。学费按升入学校同届学生收费标准执行。新生入学后不允许转学、转专业。专升本学生毕业时，颁发国家统一电子注册的全日制普通高等学校“浙江机电职业技术大学”专科起点本科毕业证书，符合学士学位授予条件的，由学校授予学士学位</w:t>
      </w:r>
      <w:r>
        <w:rPr>
          <w:rStyle w:val="6"/>
          <w:rFonts w:hint="default" w:ascii="仿宋_GB2312" w:eastAsia="仿宋_GB2312" w:cs="仿宋_GB2312"/>
          <w:color w:val="333333"/>
          <w:spacing w:val="0"/>
          <w:sz w:val="21"/>
          <w:szCs w:val="21"/>
          <w:bdr w:val="none" w:color="auto" w:sz="0" w:space="0"/>
          <w:shd w:val="clear" w:fill="FFFFFF"/>
        </w:rPr>
        <w:t>。</w:t>
      </w:r>
    </w:p>
    <w:p w14:paraId="3A4A8206">
      <w:pPr>
        <w:pStyle w:val="3"/>
        <w:keepNext w:val="0"/>
        <w:keepLines w:val="0"/>
        <w:widowControl/>
        <w:suppressLineNumbers w:val="0"/>
        <w:shd w:val="clear" w:fill="FFFFFF"/>
        <w:spacing w:before="150" w:beforeAutospacing="0" w:after="70" w:afterAutospacing="0" w:line="370" w:lineRule="atLeast"/>
        <w:ind w:left="0" w:right="0" w:firstLine="430"/>
      </w:pPr>
      <w:r>
        <w:rPr>
          <w:rStyle w:val="6"/>
          <w:rFonts w:hint="default" w:ascii="仿宋_GB2312" w:eastAsia="仿宋_GB2312" w:cs="仿宋_GB2312"/>
          <w:color w:val="333333"/>
          <w:spacing w:val="0"/>
          <w:sz w:val="21"/>
          <w:szCs w:val="21"/>
          <w:bdr w:val="none" w:color="auto" w:sz="0" w:space="0"/>
          <w:shd w:val="clear" w:fill="FFFFFF"/>
        </w:rPr>
        <w:t>第十三条</w:t>
      </w:r>
      <w:r>
        <w:rPr>
          <w:rFonts w:hint="default" w:ascii="仿宋_GB2312" w:eastAsia="仿宋_GB2312" w:cs="仿宋_GB2312"/>
          <w:color w:val="333333"/>
          <w:spacing w:val="0"/>
          <w:sz w:val="21"/>
          <w:szCs w:val="21"/>
          <w:bdr w:val="none" w:color="auto" w:sz="0" w:space="0"/>
          <w:shd w:val="clear" w:fill="FFFFFF"/>
        </w:rPr>
        <w:t> 入学资格复查</w:t>
      </w:r>
    </w:p>
    <w:p w14:paraId="781E24FB">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新生入学后，学校进行全面复查，对不符合报考条件、报到条件和录取标准以及弄虚作假、违纪舞弊者，取消其入学资格，并报省教育考试院备案。考生需在新生报到时提供高职（专科）在校期间、服役期间表现等材料（在校期间成绩单、在部队各项表现、立功奖励材料等，非应届毕业生需提供毕业证书复印件、学信网学历认证等材料）。</w:t>
      </w:r>
      <w:r>
        <w:rPr>
          <w:rFonts w:hint="eastAsia" w:ascii="微软雅黑" w:hAnsi="微软雅黑" w:eastAsia="微软雅黑" w:cs="微软雅黑"/>
          <w:color w:val="333333"/>
          <w:spacing w:val="0"/>
          <w:sz w:val="14"/>
          <w:szCs w:val="14"/>
          <w:bdr w:val="none" w:color="auto" w:sz="0" w:space="0"/>
          <w:shd w:val="clear" w:fill="FFFFFF"/>
        </w:rPr>
        <w:br w:type="textWrapping"/>
      </w:r>
      <w:r>
        <w:rPr>
          <w:rFonts w:hint="eastAsia" w:ascii="微软雅黑" w:hAnsi="微软雅黑" w:eastAsia="微软雅黑" w:cs="微软雅黑"/>
          <w:color w:val="333333"/>
          <w:spacing w:val="0"/>
          <w:sz w:val="14"/>
          <w:szCs w:val="14"/>
          <w:bdr w:val="none" w:color="auto" w:sz="0" w:space="0"/>
          <w:shd w:val="clear" w:fill="FFFFFF"/>
        </w:rPr>
        <w:t>           </w:t>
      </w:r>
      <w:r>
        <w:rPr>
          <w:rStyle w:val="6"/>
          <w:rFonts w:hint="default" w:ascii="仿宋_GB2312" w:eastAsia="仿宋_GB2312" w:cs="仿宋_GB2312"/>
          <w:color w:val="333333"/>
          <w:spacing w:val="0"/>
          <w:sz w:val="21"/>
          <w:szCs w:val="21"/>
          <w:bdr w:val="none" w:color="auto" w:sz="0" w:space="0"/>
          <w:shd w:val="clear" w:fill="FFFFFF"/>
        </w:rPr>
        <w:t>第十四条</w:t>
      </w:r>
      <w:r>
        <w:rPr>
          <w:rFonts w:hint="default" w:ascii="仿宋_GB2312" w:eastAsia="仿宋_GB2312" w:cs="仿宋_GB2312"/>
          <w:color w:val="333333"/>
          <w:spacing w:val="0"/>
          <w:sz w:val="21"/>
          <w:szCs w:val="21"/>
          <w:bdr w:val="none" w:color="auto" w:sz="0" w:space="0"/>
          <w:shd w:val="clear" w:fill="FFFFFF"/>
        </w:rPr>
        <w:t> 档案邮寄</w:t>
      </w:r>
      <w:r>
        <w:rPr>
          <w:rFonts w:hint="eastAsia" w:ascii="微软雅黑" w:hAnsi="微软雅黑" w:eastAsia="微软雅黑" w:cs="微软雅黑"/>
          <w:color w:val="333333"/>
          <w:spacing w:val="0"/>
          <w:sz w:val="14"/>
          <w:szCs w:val="14"/>
          <w:bdr w:val="none" w:color="auto" w:sz="0" w:space="0"/>
          <w:shd w:val="clear" w:fill="FFFFFF"/>
        </w:rPr>
        <w:br w:type="textWrapping"/>
      </w:r>
      <w:r>
        <w:rPr>
          <w:rFonts w:hint="eastAsia" w:ascii="微软雅黑" w:hAnsi="微软雅黑" w:eastAsia="微软雅黑" w:cs="微软雅黑"/>
          <w:color w:val="333333"/>
          <w:spacing w:val="0"/>
          <w:sz w:val="14"/>
          <w:szCs w:val="14"/>
          <w:bdr w:val="none" w:color="auto" w:sz="0" w:space="0"/>
          <w:shd w:val="clear" w:fill="FFFFFF"/>
        </w:rPr>
        <w:t>          </w:t>
      </w:r>
      <w:r>
        <w:rPr>
          <w:rFonts w:hint="default" w:ascii="仿宋_GB2312" w:eastAsia="仿宋_GB2312" w:cs="仿宋_GB2312"/>
          <w:color w:val="333333"/>
          <w:spacing w:val="0"/>
          <w:sz w:val="21"/>
          <w:szCs w:val="21"/>
          <w:bdr w:val="none" w:color="auto" w:sz="0" w:space="0"/>
          <w:shd w:val="clear" w:fill="FFFFFF"/>
        </w:rPr>
        <w:t>档案接收单位：杭州市滨江区滨文路528号7号楼219浙江机电职业技术大学招生就业处招生办。      </w:t>
      </w:r>
    </w:p>
    <w:p w14:paraId="55B42C45">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邮政编码：310053</w:t>
      </w:r>
    </w:p>
    <w:p w14:paraId="4BD18EAC">
      <w:pPr>
        <w:pStyle w:val="3"/>
        <w:keepNext w:val="0"/>
        <w:keepLines w:val="0"/>
        <w:widowControl/>
        <w:suppressLineNumbers w:val="0"/>
        <w:shd w:val="clear" w:fill="FFFFFF"/>
        <w:spacing w:before="150" w:beforeAutospacing="0" w:after="70" w:afterAutospacing="0" w:line="370" w:lineRule="atLeast"/>
        <w:ind w:left="430" w:right="0"/>
        <w:jc w:val="both"/>
      </w:pPr>
      <w:r>
        <w:rPr>
          <w:rFonts w:hint="default" w:ascii="仿宋_GB2312" w:eastAsia="仿宋_GB2312" w:cs="仿宋_GB2312"/>
          <w:color w:val="333333"/>
          <w:spacing w:val="0"/>
          <w:sz w:val="21"/>
          <w:szCs w:val="21"/>
          <w:shd w:val="clear" w:fill="FFFFFF"/>
        </w:rPr>
        <w:t>联系电话：0571-87773018</w:t>
      </w:r>
      <w:r>
        <w:rPr>
          <w:rFonts w:hint="eastAsia" w:ascii="微软雅黑" w:hAnsi="微软雅黑" w:eastAsia="微软雅黑" w:cs="微软雅黑"/>
          <w:color w:val="333333"/>
          <w:spacing w:val="0"/>
          <w:sz w:val="14"/>
          <w:szCs w:val="14"/>
          <w:shd w:val="clear" w:fill="FFFFFF"/>
        </w:rPr>
        <w:br w:type="textWrapping"/>
      </w:r>
      <w:r>
        <w:rPr>
          <w:rStyle w:val="6"/>
          <w:rFonts w:hint="default" w:ascii="仿宋_GB2312" w:eastAsia="仿宋_GB2312" w:cs="仿宋_GB2312"/>
          <w:color w:val="333333"/>
          <w:spacing w:val="0"/>
          <w:sz w:val="21"/>
          <w:szCs w:val="21"/>
          <w:shd w:val="clear" w:fill="FFFFFF"/>
        </w:rPr>
        <w:t>第十五条</w:t>
      </w:r>
      <w:r>
        <w:rPr>
          <w:rFonts w:hint="default" w:ascii="仿宋_GB2312" w:eastAsia="仿宋_GB2312" w:cs="仿宋_GB2312"/>
          <w:color w:val="333333"/>
          <w:spacing w:val="0"/>
          <w:sz w:val="21"/>
          <w:szCs w:val="21"/>
          <w:shd w:val="clear" w:fill="FFFFFF"/>
        </w:rPr>
        <w:t> 其他</w:t>
      </w:r>
    </w:p>
    <w:p w14:paraId="1A45332D">
      <w:pPr>
        <w:pStyle w:val="3"/>
        <w:keepNext w:val="0"/>
        <w:keepLines w:val="0"/>
        <w:widowControl/>
        <w:suppressLineNumbers w:val="0"/>
        <w:shd w:val="clear" w:fill="FFFFFF"/>
        <w:spacing w:before="150" w:beforeAutospacing="0" w:after="70" w:afterAutospacing="0" w:line="370" w:lineRule="atLeast"/>
        <w:ind w:left="210" w:right="0" w:firstLine="210"/>
      </w:pPr>
      <w:r>
        <w:rPr>
          <w:rFonts w:hint="default" w:ascii="仿宋_GB2312" w:eastAsia="仿宋_GB2312" w:cs="仿宋_GB2312"/>
          <w:color w:val="333333"/>
          <w:spacing w:val="0"/>
          <w:sz w:val="21"/>
          <w:szCs w:val="21"/>
          <w:shd w:val="clear" w:fill="FFFFFF"/>
        </w:rPr>
        <w:t>浙江机电职业技术大学招生官网：https://zs.zime.edu.cn/</w:t>
      </w:r>
    </w:p>
    <w:p w14:paraId="1939DEA3">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咨询电话：0571-87773018    86888207</w:t>
      </w:r>
    </w:p>
    <w:p w14:paraId="1A85F33A">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监督电话：0571-87773090    87772602</w:t>
      </w:r>
    </w:p>
    <w:p w14:paraId="0778900E">
      <w:pPr>
        <w:pStyle w:val="3"/>
        <w:keepNext w:val="0"/>
        <w:keepLines w:val="0"/>
        <w:widowControl/>
        <w:suppressLineNumbers w:val="0"/>
        <w:shd w:val="clear" w:fill="FFFFFF"/>
        <w:spacing w:before="150" w:beforeAutospacing="0" w:after="70" w:afterAutospacing="0" w:line="370" w:lineRule="atLeast"/>
        <w:ind w:left="0" w:right="0" w:firstLine="430"/>
      </w:pPr>
      <w:r>
        <w:rPr>
          <w:rFonts w:hint="default" w:ascii="仿宋_GB2312" w:eastAsia="仿宋_GB2312" w:cs="仿宋_GB2312"/>
          <w:color w:val="333333"/>
          <w:spacing w:val="0"/>
          <w:sz w:val="21"/>
          <w:szCs w:val="21"/>
          <w:bdr w:val="none" w:color="auto" w:sz="0" w:space="0"/>
          <w:shd w:val="clear" w:fill="FFFFFF"/>
        </w:rPr>
        <w:t>以上招生政策与上级有关规定不一致的以上级有关部门政策规定为准，本简章由浙江机电职业技术大学招生就业处负责解释。</w:t>
      </w:r>
    </w:p>
    <w:p w14:paraId="0FDC0809">
      <w:pPr>
        <w:pStyle w:val="3"/>
        <w:keepNext w:val="0"/>
        <w:keepLines w:val="0"/>
        <w:widowControl/>
        <w:suppressLineNumbers w:val="0"/>
        <w:shd w:val="clear" w:fill="FFFFFF"/>
        <w:spacing w:before="150" w:beforeAutospacing="0" w:after="0" w:afterAutospacing="0" w:line="370" w:lineRule="atLeast"/>
        <w:ind w:left="0" w:right="0" w:firstLine="430"/>
      </w:pPr>
    </w:p>
    <w:p w14:paraId="12AFF0F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6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2025-03-09T10:51:22Z</dcterms:created>
  <dc:creator>DELL</dc:creator>
  <cp:lastModifiedBy>长乐</cp:lastModifiedBy>
  <dcterms:modified xsi:type="dcterms:W3CDTF">2025-03-09T10:51:25Z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B57EF95B255448EDABE3AA9DAF726CFD_12</vt:lpwstr>
  </property>
</Properties>
</file>