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381A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bookmarkStart w:id="0" w:name="_GoBack"/>
      <w:bookmarkEnd w:id="0"/>
    </w:p>
    <w:p w14:paraId="6E07A7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黑体" w:hAnsi="宋体" w:eastAsia="黑体" w:cs="黑体"/>
          <w:i w:val="0"/>
          <w:iCs w:val="0"/>
          <w:caps w:val="0"/>
          <w:color w:val="000000"/>
          <w:spacing w:val="0"/>
          <w:sz w:val="29"/>
          <w:szCs w:val="29"/>
        </w:rPr>
        <w:t>江西警察学院2025年退役大学生士兵</w:t>
      </w:r>
    </w:p>
    <w:p w14:paraId="325ED76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3BDEFF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黑体" w:hAnsi="宋体" w:eastAsia="黑体" w:cs="黑体"/>
          <w:i w:val="0"/>
          <w:iCs w:val="0"/>
          <w:caps w:val="0"/>
          <w:color w:val="000000"/>
          <w:spacing w:val="0"/>
          <w:sz w:val="29"/>
          <w:szCs w:val="29"/>
        </w:rPr>
        <w:t>专升本免试录取考查办法</w:t>
      </w:r>
    </w:p>
    <w:p w14:paraId="49A3DBA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717BBC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jc w:val="left"/>
      </w:pPr>
      <w:r>
        <w:rPr>
          <w:rFonts w:ascii="仿宋" w:hAnsi="仿宋" w:eastAsia="仿宋" w:cs="仿宋"/>
          <w:i w:val="0"/>
          <w:iCs w:val="0"/>
          <w:caps w:val="0"/>
          <w:color w:val="000000"/>
          <w:spacing w:val="0"/>
          <w:sz w:val="21"/>
          <w:szCs w:val="21"/>
        </w:rPr>
        <w:t> </w:t>
      </w:r>
    </w:p>
    <w:p w14:paraId="6DB8E8E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352875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根据《江西省2025年普通高校专升本考试招生实施方案》（赣教高字〔2024〕53号）和“关于公布《江西省2025年普通高等学校专升本考试对应专业（类）指导目录》的通知”（赣教高字〔2024〕54号）文件精神，按照江西省教育厅“江西省2025年普通高等学校专升本工作安排”，为做好江西警察学院2025年退役大学生士兵专升本免试录取考查工作，特制定本办法。</w:t>
      </w:r>
    </w:p>
    <w:p w14:paraId="19BBAC7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3F9B9B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黑体" w:hAnsi="宋体" w:eastAsia="黑体" w:cs="黑体"/>
          <w:i w:val="0"/>
          <w:iCs w:val="0"/>
          <w:caps w:val="0"/>
          <w:color w:val="000000"/>
          <w:spacing w:val="0"/>
          <w:sz w:val="21"/>
          <w:szCs w:val="21"/>
        </w:rPr>
        <w:t>一、工作组织</w:t>
      </w:r>
    </w:p>
    <w:p w14:paraId="1FC2FB3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61142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江西警察学院2025年退役大学生士兵专升本免试录取工作，由江西警察学院统一组织，学校纪委全程监督。</w:t>
      </w:r>
    </w:p>
    <w:p w14:paraId="39D4384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17D65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黑体" w:hAnsi="宋体" w:eastAsia="黑体" w:cs="黑体"/>
          <w:i w:val="0"/>
          <w:iCs w:val="0"/>
          <w:caps w:val="0"/>
          <w:color w:val="000000"/>
          <w:spacing w:val="0"/>
          <w:sz w:val="21"/>
          <w:szCs w:val="21"/>
        </w:rPr>
        <w:t>二、招生对象</w:t>
      </w:r>
    </w:p>
    <w:p w14:paraId="61B159E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C9B74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（一）已退役大学生士兵（含2025年3月退役大学生士兵）在2025年7月31日前可取得或已取得毕业证，且符合下列条件之一：</w:t>
      </w:r>
    </w:p>
    <w:p w14:paraId="242EF20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A41C1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1.江西省普通高职（专科）学生在校期间或毕业后应征入伍。</w:t>
      </w:r>
    </w:p>
    <w:p w14:paraId="775EFAC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DE211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2.外省普通高职（专科）学生在校期间或毕业后，在江西应征入伍。</w:t>
      </w:r>
    </w:p>
    <w:p w14:paraId="2E41582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4668FC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（二）对于2025年3月退役，报名时暂未取得退役士兵证的大学生士兵，须在报名时手写一份承诺书（签名、按手印）上传报名系统。资格审查截止日期可延迟到2025年3月20日之前。</w:t>
      </w:r>
    </w:p>
    <w:p w14:paraId="6786529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98104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黑体" w:hAnsi="宋体" w:eastAsia="黑体" w:cs="黑体"/>
          <w:i w:val="0"/>
          <w:iCs w:val="0"/>
          <w:caps w:val="0"/>
          <w:color w:val="000000"/>
          <w:spacing w:val="0"/>
          <w:sz w:val="21"/>
          <w:szCs w:val="21"/>
        </w:rPr>
        <w:t>三、报名条件</w:t>
      </w:r>
    </w:p>
    <w:p w14:paraId="3094E45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D6487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（一）遵守《中华人民共和国宪法》及其他法律法规。</w:t>
      </w:r>
    </w:p>
    <w:p w14:paraId="1A6877E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4569AF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（二）身体健康，各专业身体要求按教育部等三部委印发的《普通高等学校招生体检工作指导意见》执行。</w:t>
      </w:r>
    </w:p>
    <w:p w14:paraId="31B8B62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52908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（三）普通高职（专科）学习期间无记过及以上纪律处分，或受到纪律处分但报名前已解除处分的。</w:t>
      </w:r>
    </w:p>
    <w:p w14:paraId="39705E2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196510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（四）在入伍期间和退役后工作学习期间，无记过及以上纪律处分，或受到纪律处分但报名前已解除处分的。</w:t>
      </w:r>
    </w:p>
    <w:p w14:paraId="271B3F8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78436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黑体" w:hAnsi="宋体" w:eastAsia="黑体" w:cs="黑体"/>
          <w:i w:val="0"/>
          <w:iCs w:val="0"/>
          <w:caps w:val="0"/>
          <w:color w:val="000000"/>
          <w:spacing w:val="0"/>
          <w:sz w:val="21"/>
          <w:szCs w:val="21"/>
        </w:rPr>
        <w:t>四、招生专业及计划</w:t>
      </w:r>
    </w:p>
    <w:p w14:paraId="52B8430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759E41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（一）招生专业：</w:t>
      </w:r>
    </w:p>
    <w:p w14:paraId="7EA9EB7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BF55E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报考江西警察学院考生就读的普通高校高职（专科）专业应与报考的本科专业大体对应，按照《江西省2025年普通高校专升本考试对应专业（科类）指导目录》要求。</w:t>
      </w:r>
    </w:p>
    <w:p w14:paraId="1B5AF50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124E7B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1.法学（0301法学类）。对应专科专业为“58公安与司法大类、5901公共事业类、5902公共管理类”。</w:t>
      </w:r>
    </w:p>
    <w:p w14:paraId="0CF10F1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401E7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2.信息安全（0809计算机类）。对应专科专业为“42资源环境与安全大类、5002道路运输类、5101电子信息类、5102计算机类、580604K司法信息安全、580602K司法信息技术”。</w:t>
      </w:r>
    </w:p>
    <w:p w14:paraId="6DCB5B5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F85D9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（二）招生计划：</w:t>
      </w:r>
    </w:p>
    <w:p w14:paraId="459F7EC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6178D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2024年江西警察学院与江西司法警官职业学院专升本联合培养退役大学生士兵免试招生计划40人，其中法学专业20人，信息安全专业20人。（培养地点：江西司法警官职业学院）。</w:t>
      </w:r>
    </w:p>
    <w:p w14:paraId="2BAE22F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38CB5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430" w:right="0"/>
      </w:pPr>
      <w:r>
        <w:rPr>
          <w:rFonts w:hint="eastAsia" w:ascii="黑体" w:hAnsi="宋体" w:eastAsia="黑体" w:cs="黑体"/>
          <w:i w:val="0"/>
          <w:iCs w:val="0"/>
          <w:caps w:val="0"/>
          <w:color w:val="000000"/>
          <w:spacing w:val="0"/>
          <w:sz w:val="21"/>
          <w:szCs w:val="21"/>
        </w:rPr>
        <w:t>五、申请职业适应性综合考查申请时间及方式</w:t>
      </w:r>
    </w:p>
    <w:p w14:paraId="416A106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39FD19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退役大学生士兵可免于参加文化课考试，但须在规定时间内参加江西警察学院组织的职业适应性综合考查（以下简称：综合考查），综合考查申请时间与方式如下：</w:t>
      </w:r>
    </w:p>
    <w:p w14:paraId="499357F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C42C2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（一）申请时间：2025年2月21日8:00--2月24日23:00。</w:t>
      </w:r>
    </w:p>
    <w:p w14:paraId="12A2BF0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6C17E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（二）申请方式：</w:t>
      </w:r>
    </w:p>
    <w:p w14:paraId="439F569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DC13A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扫描下方二维码报名</w:t>
      </w:r>
    </w:p>
    <w:p w14:paraId="4BC8539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2FD681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1B8DC8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jc w:val="center"/>
      </w:pPr>
      <w:r>
        <w:rPr>
          <w:rFonts w:hint="default" w:ascii="å®‹ä½“" w:hAnsi="å®‹ä½“" w:eastAsia="å®‹ä½“" w:cs="å®‹ä½“"/>
          <w:i w:val="0"/>
          <w:iCs w:val="0"/>
          <w:caps w:val="0"/>
          <w:color w:val="000000"/>
          <w:spacing w:val="0"/>
          <w:sz w:val="14"/>
          <w:szCs w:val="14"/>
        </w:rPr>
        <w:drawing>
          <wp:inline distT="0" distB="0" distL="114300" distR="114300">
            <wp:extent cx="1524000" cy="19050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0" cy="1905000"/>
                    </a:xfrm>
                    <a:prstGeom prst="rect">
                      <a:avLst/>
                    </a:prstGeom>
                    <a:noFill/>
                    <a:ln w="9525">
                      <a:noFill/>
                    </a:ln>
                  </pic:spPr>
                </pic:pic>
              </a:graphicData>
            </a:graphic>
          </wp:inline>
        </w:drawing>
      </w:r>
    </w:p>
    <w:p w14:paraId="1C2073B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B4496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ascii="仿宋_gb2312" w:hAnsi="仿宋_gb2312" w:eastAsia="仿宋_gb2312" w:cs="仿宋_gb2312"/>
          <w:i w:val="0"/>
          <w:iCs w:val="0"/>
          <w:caps w:val="0"/>
          <w:color w:val="000000"/>
          <w:spacing w:val="0"/>
          <w:sz w:val="21"/>
          <w:szCs w:val="21"/>
        </w:rPr>
        <w:t> </w:t>
      </w:r>
      <w:r>
        <w:rPr>
          <w:rFonts w:hint="default" w:ascii="仿宋_gb2312" w:hAnsi="仿宋_gb2312" w:eastAsia="仿宋_gb2312" w:cs="仿宋_gb2312"/>
          <w:i w:val="0"/>
          <w:iCs w:val="0"/>
          <w:caps w:val="0"/>
          <w:color w:val="000000"/>
          <w:spacing w:val="0"/>
          <w:sz w:val="21"/>
          <w:szCs w:val="21"/>
        </w:rPr>
        <w:t>（三）公示初审名单：</w:t>
      </w:r>
    </w:p>
    <w:p w14:paraId="380873F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7B04D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学校将依据《江西省2025年普通高校专升本考试对应专业（类）指导目录》，对照考生毕业专业进行资格初审，2月28日，在江西警察学院官网http://www.jxga.edu.cn“校园公告”栏公布审批通过的申请江西警察学院2025年退役大学生士兵综合考查考生名单，请报名考生密切关注网站通知。</w:t>
      </w:r>
    </w:p>
    <w:p w14:paraId="2EB9BE6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C1F9A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报名咨询电话：0791-88673333。为方便考生了解报考政策及相关信息，请添加“江西警察学院2025年退役大学生士兵专升本免试招生工作QQ群”，群号：915693141。</w:t>
      </w:r>
    </w:p>
    <w:p w14:paraId="0DFD002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7CB7D4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黑体" w:hAnsi="宋体" w:eastAsia="黑体" w:cs="黑体"/>
          <w:i w:val="0"/>
          <w:iCs w:val="0"/>
          <w:caps w:val="0"/>
          <w:color w:val="000000"/>
          <w:spacing w:val="0"/>
          <w:sz w:val="21"/>
          <w:szCs w:val="21"/>
        </w:rPr>
        <w:t>六、综合考查时间、地点、方式及要求</w:t>
      </w:r>
    </w:p>
    <w:p w14:paraId="63B6402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E907D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430" w:right="0"/>
      </w:pPr>
      <w:r>
        <w:rPr>
          <w:rFonts w:hint="eastAsia" w:ascii="仿宋" w:hAnsi="仿宋" w:eastAsia="仿宋" w:cs="仿宋"/>
          <w:i w:val="0"/>
          <w:iCs w:val="0"/>
          <w:caps w:val="0"/>
          <w:color w:val="000000"/>
          <w:spacing w:val="0"/>
          <w:sz w:val="21"/>
          <w:szCs w:val="21"/>
        </w:rPr>
        <w:t>（一）考查时间：2025年3月8日上午8:30（参加综合考查的考生需携带本人第二代有效期内居民身份证）；</w:t>
      </w:r>
    </w:p>
    <w:p w14:paraId="22AF094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4A71BB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430" w:right="0"/>
      </w:pPr>
      <w:r>
        <w:rPr>
          <w:rFonts w:hint="eastAsia" w:ascii="仿宋" w:hAnsi="仿宋" w:eastAsia="仿宋" w:cs="仿宋"/>
          <w:i w:val="0"/>
          <w:iCs w:val="0"/>
          <w:caps w:val="0"/>
          <w:color w:val="000000"/>
          <w:spacing w:val="0"/>
          <w:sz w:val="21"/>
          <w:szCs w:val="21"/>
        </w:rPr>
        <w:t>（二）考查地点：江西警察学院一号教学楼</w:t>
      </w:r>
    </w:p>
    <w:p w14:paraId="1D8615E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7CC644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（三）考查形式和时间</w:t>
      </w:r>
    </w:p>
    <w:p w14:paraId="28EA6EA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E610A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考查形式：面试</w:t>
      </w:r>
    </w:p>
    <w:p w14:paraId="0C68939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1BF20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考查时间：15分钟左右/人</w:t>
      </w:r>
    </w:p>
    <w:p w14:paraId="7191B99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AE439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（四）考查能力及要求</w:t>
      </w:r>
    </w:p>
    <w:p w14:paraId="0ABA017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3B5E84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主要考查申请免试录取退役大学生士兵职业适应性，主要包括：</w:t>
      </w:r>
    </w:p>
    <w:p w14:paraId="41B4B46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486006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1.法学类</w:t>
      </w:r>
    </w:p>
    <w:p w14:paraId="6634C64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8D056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①具有良好的职业道德和心理素质，对法有敬畏之心；</w:t>
      </w:r>
    </w:p>
    <w:p w14:paraId="48B6414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5D978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②具有理性缜密的思维，善辩的口才和逻辑推理能力；</w:t>
      </w:r>
    </w:p>
    <w:p w14:paraId="066FCA2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1E7B7D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③具有较强的学习能力，能够运用法学知识分析问题和处理问题；</w:t>
      </w:r>
    </w:p>
    <w:p w14:paraId="7A08EAA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32AEA1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④掌握文献检索和资料查询的基本方法，能独立处理具体法务工作。</w:t>
      </w:r>
    </w:p>
    <w:p w14:paraId="01626BC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A8AD8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⑤具备社会责任感，有规则意识，具有实现社会公平正义的理想信念。</w:t>
      </w:r>
    </w:p>
    <w:p w14:paraId="708885C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9EC53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2.计算机类</w:t>
      </w:r>
    </w:p>
    <w:p w14:paraId="66F99FD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174639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①具有良好的职业道德和心理素质，了解信息安全相关的法律法规和伦理规范。</w:t>
      </w:r>
    </w:p>
    <w:p w14:paraId="5694F69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88894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②对信息安全的重要性有深刻认识，了解常见的信息安全威胁和攻击手段，如病毒、木马、网络漏洞等。</w:t>
      </w:r>
    </w:p>
    <w:p w14:paraId="2C1B29B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4D28CD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③具备扎实的数学基础，包括高等数学、线性代数等，了解密码学的基本原理和方法。</w:t>
      </w:r>
    </w:p>
    <w:p w14:paraId="6FB668C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9CA09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④熟悉计算机基础知识，了解操作系统、数据结构、基本算法、数据库等，掌握基本的程序设计与开发的知识。</w:t>
      </w:r>
    </w:p>
    <w:p w14:paraId="27F25BF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72E484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⑤了解计算机网络原理，包括网络结构、TCP/IP协议等，具备一定的网络配置和管理能力。</w:t>
      </w:r>
    </w:p>
    <w:p w14:paraId="4C43F5F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C32D4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（五）考查方法及要求</w:t>
      </w:r>
    </w:p>
    <w:p w14:paraId="1465B98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C0471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1.采取面试的方法，通过自我介绍、回答问题等方式进行。</w:t>
      </w:r>
    </w:p>
    <w:p w14:paraId="49681FA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99C08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2.考生按照主考官要求进行适当准备，然后接受面试，时间不超过15分钟。</w:t>
      </w:r>
    </w:p>
    <w:p w14:paraId="498B4A6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3E0CA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3.面试考官根据考生答题质量分别评分，统分人员现场统分，采取考官平均分作为考生面试成绩，由主考官现场公布成绩。</w:t>
      </w:r>
    </w:p>
    <w:p w14:paraId="35CB0BD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A7A48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4.考生在自我介绍中不能泄露考生个人的信息，如姓名、毕业学校等，违规者取消面试资格。</w:t>
      </w:r>
    </w:p>
    <w:p w14:paraId="38F56D2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BA589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（六）评分标准</w:t>
      </w:r>
    </w:p>
    <w:p w14:paraId="02DE7CE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61B61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1.法学</w:t>
      </w:r>
    </w:p>
    <w:p w14:paraId="472011A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tbl>
      <w:tblPr>
        <w:tblStyle w:val="3"/>
        <w:tblW w:w="60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70"/>
        <w:gridCol w:w="670"/>
        <w:gridCol w:w="620"/>
        <w:gridCol w:w="4159"/>
        <w:gridCol w:w="11"/>
      </w:tblGrid>
      <w:tr w14:paraId="4A67B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noWrap/>
            <w:tcMar>
              <w:left w:w="70" w:type="dxa"/>
              <w:right w:w="70" w:type="dxa"/>
            </w:tcMar>
            <w:vAlign w:val="top"/>
          </w:tcPr>
          <w:p w14:paraId="2BB169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序号</w:t>
            </w:r>
          </w:p>
        </w:tc>
        <w:tc>
          <w:tcPr>
            <w:tcW w:w="670" w:type="dxa"/>
            <w:vMerge w:val="restart"/>
            <w:tcBorders>
              <w:top w:val="single" w:color="000000" w:sz="4" w:space="0"/>
              <w:left w:val="nil"/>
              <w:bottom w:val="single" w:color="000000" w:sz="4" w:space="0"/>
              <w:right w:val="single" w:color="000000" w:sz="4" w:space="0"/>
            </w:tcBorders>
            <w:shd w:val="clear" w:color="auto" w:fill="auto"/>
            <w:tcMar>
              <w:left w:w="70" w:type="dxa"/>
              <w:right w:w="70" w:type="dxa"/>
            </w:tcMar>
            <w:vAlign w:val="top"/>
          </w:tcPr>
          <w:p w14:paraId="30E9E0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测试项目</w:t>
            </w:r>
          </w:p>
        </w:tc>
        <w:tc>
          <w:tcPr>
            <w:tcW w:w="620" w:type="dxa"/>
            <w:vMerge w:val="restart"/>
            <w:tcBorders>
              <w:top w:val="single" w:color="000000" w:sz="4" w:space="0"/>
              <w:left w:val="nil"/>
              <w:bottom w:val="single" w:color="000000" w:sz="4" w:space="0"/>
              <w:right w:val="single" w:color="000000" w:sz="4" w:space="0"/>
            </w:tcBorders>
            <w:shd w:val="clear" w:color="auto" w:fill="auto"/>
            <w:noWrap/>
            <w:tcMar>
              <w:left w:w="70" w:type="dxa"/>
              <w:right w:w="70" w:type="dxa"/>
            </w:tcMar>
            <w:vAlign w:val="top"/>
          </w:tcPr>
          <w:p w14:paraId="680EE0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分值</w:t>
            </w:r>
          </w:p>
        </w:tc>
        <w:tc>
          <w:tcPr>
            <w:tcW w:w="4160" w:type="dxa"/>
            <w:vMerge w:val="restart"/>
            <w:tcBorders>
              <w:top w:val="single" w:color="000000" w:sz="4" w:space="0"/>
              <w:left w:val="nil"/>
              <w:bottom w:val="single" w:color="000000" w:sz="4" w:space="0"/>
              <w:right w:val="single" w:color="000000" w:sz="4" w:space="0"/>
            </w:tcBorders>
            <w:shd w:val="clear" w:color="auto" w:fill="auto"/>
            <w:tcMar>
              <w:left w:w="70" w:type="dxa"/>
              <w:right w:w="70" w:type="dxa"/>
            </w:tcMar>
            <w:vAlign w:val="top"/>
          </w:tcPr>
          <w:p w14:paraId="4B704B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评分标准</w:t>
            </w:r>
          </w:p>
        </w:tc>
        <w:tc>
          <w:tcPr>
            <w:tcW w:w="6" w:type="dxa"/>
            <w:tcBorders>
              <w:top w:val="nil"/>
              <w:left w:val="nil"/>
              <w:bottom w:val="nil"/>
              <w:right w:val="nil"/>
            </w:tcBorders>
            <w:shd w:val="clear" w:color="auto" w:fill="auto"/>
            <w:vAlign w:val="top"/>
          </w:tcPr>
          <w:p w14:paraId="6922B418">
            <w:pPr>
              <w:keepNext w:val="0"/>
              <w:keepLines w:val="0"/>
              <w:widowControl/>
              <w:suppressLineNumbers w:val="0"/>
              <w:spacing w:before="0" w:beforeAutospacing="0" w:after="0" w:afterAutospacing="0"/>
              <w:ind w:left="0" w:right="0"/>
              <w:jc w:val="left"/>
              <w:textAlignment w:val="top"/>
            </w:pPr>
          </w:p>
        </w:tc>
      </w:tr>
      <w:tr w14:paraId="2D163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left w:w="70" w:type="dxa"/>
              <w:right w:w="70" w:type="dxa"/>
            </w:tcMar>
            <w:vAlign w:val="top"/>
          </w:tcPr>
          <w:p w14:paraId="515E9BC3">
            <w:pPr>
              <w:rPr>
                <w:rFonts w:hint="eastAsia" w:ascii="宋体"/>
                <w:sz w:val="24"/>
                <w:szCs w:val="24"/>
              </w:rPr>
            </w:pPr>
          </w:p>
        </w:tc>
        <w:tc>
          <w:tcPr>
            <w:tcW w:w="670" w:type="dxa"/>
            <w:vMerge w:val="continue"/>
            <w:tcBorders>
              <w:top w:val="single" w:color="000000" w:sz="4" w:space="0"/>
              <w:left w:val="nil"/>
              <w:bottom w:val="single" w:color="000000" w:sz="4" w:space="0"/>
              <w:right w:val="single" w:color="000000" w:sz="4" w:space="0"/>
            </w:tcBorders>
            <w:shd w:val="clear" w:color="auto" w:fill="auto"/>
            <w:tcMar>
              <w:left w:w="70" w:type="dxa"/>
              <w:right w:w="70" w:type="dxa"/>
            </w:tcMar>
            <w:vAlign w:val="top"/>
          </w:tcPr>
          <w:p w14:paraId="53328A68">
            <w:pPr>
              <w:rPr>
                <w:rFonts w:hint="eastAsia" w:ascii="宋体"/>
                <w:sz w:val="24"/>
                <w:szCs w:val="24"/>
              </w:rPr>
            </w:pPr>
          </w:p>
        </w:tc>
        <w:tc>
          <w:tcPr>
            <w:tcW w:w="620" w:type="dxa"/>
            <w:vMerge w:val="continue"/>
            <w:tcBorders>
              <w:top w:val="single" w:color="000000" w:sz="4" w:space="0"/>
              <w:left w:val="nil"/>
              <w:bottom w:val="single" w:color="000000" w:sz="4" w:space="0"/>
              <w:right w:val="single" w:color="000000" w:sz="4" w:space="0"/>
            </w:tcBorders>
            <w:shd w:val="clear" w:color="auto" w:fill="auto"/>
            <w:noWrap/>
            <w:tcMar>
              <w:left w:w="70" w:type="dxa"/>
              <w:right w:w="70" w:type="dxa"/>
            </w:tcMar>
            <w:vAlign w:val="top"/>
          </w:tcPr>
          <w:p w14:paraId="1976076A">
            <w:pPr>
              <w:rPr>
                <w:rFonts w:hint="eastAsia" w:ascii="宋体"/>
                <w:sz w:val="24"/>
                <w:szCs w:val="24"/>
              </w:rPr>
            </w:pPr>
          </w:p>
        </w:tc>
        <w:tc>
          <w:tcPr>
            <w:tcW w:w="4160" w:type="dxa"/>
            <w:vMerge w:val="continue"/>
            <w:tcBorders>
              <w:top w:val="single" w:color="000000" w:sz="4" w:space="0"/>
              <w:left w:val="nil"/>
              <w:bottom w:val="single" w:color="000000" w:sz="4" w:space="0"/>
              <w:right w:val="single" w:color="000000" w:sz="4" w:space="0"/>
            </w:tcBorders>
            <w:shd w:val="clear" w:color="auto" w:fill="auto"/>
            <w:tcMar>
              <w:left w:w="70" w:type="dxa"/>
              <w:right w:w="70" w:type="dxa"/>
            </w:tcMar>
            <w:vAlign w:val="top"/>
          </w:tcPr>
          <w:p w14:paraId="39E82EC9">
            <w:pPr>
              <w:rPr>
                <w:rFonts w:hint="eastAsia" w:ascii="宋体"/>
                <w:sz w:val="24"/>
                <w:szCs w:val="24"/>
              </w:rPr>
            </w:pPr>
          </w:p>
        </w:tc>
        <w:tc>
          <w:tcPr>
            <w:tcW w:w="6" w:type="dxa"/>
            <w:tcBorders>
              <w:top w:val="nil"/>
              <w:left w:val="nil"/>
              <w:bottom w:val="nil"/>
              <w:right w:val="nil"/>
            </w:tcBorders>
            <w:shd w:val="clear" w:color="auto" w:fill="auto"/>
            <w:vAlign w:val="top"/>
          </w:tcPr>
          <w:p w14:paraId="59DAF140">
            <w:pPr>
              <w:keepNext w:val="0"/>
              <w:keepLines w:val="0"/>
              <w:widowControl/>
              <w:suppressLineNumbers w:val="0"/>
              <w:spacing w:before="0" w:beforeAutospacing="0" w:after="0" w:afterAutospacing="0"/>
              <w:ind w:left="0" w:right="0"/>
              <w:jc w:val="left"/>
              <w:textAlignment w:val="top"/>
            </w:pPr>
          </w:p>
        </w:tc>
      </w:tr>
      <w:tr w14:paraId="53C99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57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1C33FC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1</w:t>
            </w:r>
          </w:p>
        </w:tc>
        <w:tc>
          <w:tcPr>
            <w:tcW w:w="67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710D04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职业道德</w:t>
            </w:r>
          </w:p>
        </w:tc>
        <w:tc>
          <w:tcPr>
            <w:tcW w:w="62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404B06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6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1802D8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对法律基础知识有一定了解，对法律职业有认同感，有正确的职业价值取向；维护宪法和法律的权威，愿意从事法律职业（服务）工作，有法律信仰，严格遵守各项规章制度和纪律要求；</w:t>
            </w:r>
          </w:p>
          <w:p w14:paraId="1C282F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具备自我约束、自我学习能力。</w:t>
            </w:r>
          </w:p>
        </w:tc>
        <w:tc>
          <w:tcPr>
            <w:tcW w:w="6" w:type="dxa"/>
            <w:tcBorders>
              <w:top w:val="nil"/>
              <w:left w:val="nil"/>
              <w:bottom w:val="nil"/>
              <w:right w:val="nil"/>
            </w:tcBorders>
            <w:shd w:val="clear" w:color="auto" w:fill="auto"/>
            <w:vAlign w:val="top"/>
          </w:tcPr>
          <w:p w14:paraId="65C4F9B9">
            <w:pPr>
              <w:keepNext w:val="0"/>
              <w:keepLines w:val="0"/>
              <w:widowControl/>
              <w:suppressLineNumbers w:val="0"/>
              <w:spacing w:before="0" w:beforeAutospacing="0" w:after="0" w:afterAutospacing="0"/>
              <w:ind w:left="0" w:right="0"/>
              <w:jc w:val="left"/>
              <w:textAlignment w:val="top"/>
            </w:pPr>
          </w:p>
        </w:tc>
      </w:tr>
      <w:tr w14:paraId="61257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57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01467DB8">
            <w:pPr>
              <w:rPr>
                <w:rFonts w:hint="eastAsia" w:ascii="宋体"/>
                <w:sz w:val="24"/>
                <w:szCs w:val="24"/>
              </w:rPr>
            </w:pPr>
          </w:p>
        </w:tc>
        <w:tc>
          <w:tcPr>
            <w:tcW w:w="67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633563C1">
            <w:pPr>
              <w:rPr>
                <w:rFonts w:hint="eastAsia" w:ascii="宋体"/>
                <w:sz w:val="24"/>
                <w:szCs w:val="24"/>
              </w:rPr>
            </w:pPr>
          </w:p>
        </w:tc>
        <w:tc>
          <w:tcPr>
            <w:tcW w:w="62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6FEA7794">
            <w:pPr>
              <w:rPr>
                <w:rFonts w:hint="eastAsia" w:ascii="宋体"/>
                <w:sz w:val="24"/>
                <w:szCs w:val="24"/>
              </w:rPr>
            </w:pPr>
          </w:p>
        </w:tc>
        <w:tc>
          <w:tcPr>
            <w:tcW w:w="416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286AD166">
            <w:pPr>
              <w:rPr>
                <w:rFonts w:hint="eastAsia" w:ascii="宋体"/>
                <w:sz w:val="24"/>
                <w:szCs w:val="24"/>
              </w:rPr>
            </w:pPr>
          </w:p>
        </w:tc>
        <w:tc>
          <w:tcPr>
            <w:tcW w:w="6" w:type="dxa"/>
            <w:tcBorders>
              <w:top w:val="nil"/>
              <w:left w:val="nil"/>
              <w:bottom w:val="nil"/>
              <w:right w:val="nil"/>
            </w:tcBorders>
            <w:shd w:val="clear" w:color="auto" w:fill="auto"/>
            <w:vAlign w:val="top"/>
          </w:tcPr>
          <w:p w14:paraId="3C1B929D">
            <w:pPr>
              <w:keepNext w:val="0"/>
              <w:keepLines w:val="0"/>
              <w:widowControl/>
              <w:suppressLineNumbers w:val="0"/>
              <w:spacing w:before="0" w:beforeAutospacing="0" w:after="0" w:afterAutospacing="0"/>
              <w:ind w:left="0" w:right="0"/>
              <w:jc w:val="left"/>
              <w:textAlignment w:val="top"/>
            </w:pPr>
          </w:p>
        </w:tc>
      </w:tr>
      <w:tr w14:paraId="06944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10" w:hRule="atLeast"/>
        </w:trPr>
        <w:tc>
          <w:tcPr>
            <w:tcW w:w="57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5B9C9AEB">
            <w:pPr>
              <w:rPr>
                <w:rFonts w:hint="eastAsia" w:ascii="宋体"/>
                <w:sz w:val="24"/>
                <w:szCs w:val="24"/>
              </w:rPr>
            </w:pPr>
          </w:p>
        </w:tc>
        <w:tc>
          <w:tcPr>
            <w:tcW w:w="67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06C28AA3">
            <w:pPr>
              <w:rPr>
                <w:rFonts w:hint="eastAsia" w:ascii="宋体"/>
                <w:sz w:val="24"/>
                <w:szCs w:val="24"/>
              </w:rPr>
            </w:pPr>
          </w:p>
        </w:tc>
        <w:tc>
          <w:tcPr>
            <w:tcW w:w="62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32E688EC">
            <w:pPr>
              <w:rPr>
                <w:rFonts w:hint="eastAsia" w:ascii="宋体"/>
                <w:sz w:val="24"/>
                <w:szCs w:val="24"/>
              </w:rPr>
            </w:pPr>
          </w:p>
        </w:tc>
        <w:tc>
          <w:tcPr>
            <w:tcW w:w="416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7CA561BB">
            <w:pPr>
              <w:rPr>
                <w:rFonts w:hint="eastAsia" w:ascii="宋体"/>
                <w:sz w:val="24"/>
                <w:szCs w:val="24"/>
              </w:rPr>
            </w:pPr>
          </w:p>
        </w:tc>
        <w:tc>
          <w:tcPr>
            <w:tcW w:w="6" w:type="dxa"/>
            <w:tcBorders>
              <w:top w:val="nil"/>
              <w:left w:val="nil"/>
              <w:bottom w:val="nil"/>
              <w:right w:val="nil"/>
            </w:tcBorders>
            <w:shd w:val="clear" w:color="auto" w:fill="auto"/>
            <w:vAlign w:val="top"/>
          </w:tcPr>
          <w:p w14:paraId="71FF2CD1">
            <w:pPr>
              <w:keepNext w:val="0"/>
              <w:keepLines w:val="0"/>
              <w:widowControl/>
              <w:suppressLineNumbers w:val="0"/>
              <w:spacing w:before="0" w:beforeAutospacing="0" w:after="0" w:afterAutospacing="0"/>
              <w:ind w:left="0" w:right="0"/>
              <w:jc w:val="left"/>
              <w:textAlignment w:val="top"/>
            </w:pPr>
          </w:p>
        </w:tc>
      </w:tr>
      <w:tr w14:paraId="08B89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57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2DD7CF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2</w:t>
            </w:r>
          </w:p>
        </w:tc>
        <w:tc>
          <w:tcPr>
            <w:tcW w:w="67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72B7D3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心理素质和仪态</w:t>
            </w:r>
          </w:p>
        </w:tc>
        <w:tc>
          <w:tcPr>
            <w:tcW w:w="62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1278C6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6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5DADC1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积极上进，乐观开朗，衣着整洁，仪表得体；具有一定的自我情绪调节和自控能力。</w:t>
            </w:r>
          </w:p>
        </w:tc>
        <w:tc>
          <w:tcPr>
            <w:tcW w:w="6" w:type="dxa"/>
            <w:tcBorders>
              <w:top w:val="nil"/>
              <w:left w:val="nil"/>
              <w:bottom w:val="nil"/>
              <w:right w:val="nil"/>
            </w:tcBorders>
            <w:shd w:val="clear" w:color="auto" w:fill="auto"/>
            <w:vAlign w:val="top"/>
          </w:tcPr>
          <w:p w14:paraId="45C62430">
            <w:pPr>
              <w:keepNext w:val="0"/>
              <w:keepLines w:val="0"/>
              <w:widowControl/>
              <w:suppressLineNumbers w:val="0"/>
              <w:spacing w:before="0" w:beforeAutospacing="0" w:after="0" w:afterAutospacing="0"/>
              <w:ind w:left="0" w:right="0"/>
              <w:jc w:val="left"/>
              <w:textAlignment w:val="top"/>
            </w:pPr>
          </w:p>
        </w:tc>
      </w:tr>
      <w:tr w14:paraId="2F6F6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70" w:hRule="atLeast"/>
        </w:trPr>
        <w:tc>
          <w:tcPr>
            <w:tcW w:w="57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10D58833">
            <w:pPr>
              <w:rPr>
                <w:rFonts w:hint="eastAsia" w:ascii="宋体"/>
                <w:sz w:val="24"/>
                <w:szCs w:val="24"/>
              </w:rPr>
            </w:pPr>
          </w:p>
        </w:tc>
        <w:tc>
          <w:tcPr>
            <w:tcW w:w="67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5F5DAD5B">
            <w:pPr>
              <w:rPr>
                <w:rFonts w:hint="eastAsia" w:ascii="宋体"/>
                <w:sz w:val="24"/>
                <w:szCs w:val="24"/>
              </w:rPr>
            </w:pPr>
          </w:p>
        </w:tc>
        <w:tc>
          <w:tcPr>
            <w:tcW w:w="62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5FFB16B6">
            <w:pPr>
              <w:rPr>
                <w:rFonts w:hint="eastAsia" w:ascii="宋体"/>
                <w:sz w:val="24"/>
                <w:szCs w:val="24"/>
              </w:rPr>
            </w:pPr>
          </w:p>
        </w:tc>
        <w:tc>
          <w:tcPr>
            <w:tcW w:w="416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0BB0743C">
            <w:pPr>
              <w:rPr>
                <w:rFonts w:hint="eastAsia" w:ascii="宋体"/>
                <w:sz w:val="24"/>
                <w:szCs w:val="24"/>
              </w:rPr>
            </w:pPr>
          </w:p>
        </w:tc>
        <w:tc>
          <w:tcPr>
            <w:tcW w:w="6" w:type="dxa"/>
            <w:tcBorders>
              <w:top w:val="nil"/>
              <w:left w:val="nil"/>
              <w:bottom w:val="nil"/>
              <w:right w:val="nil"/>
            </w:tcBorders>
            <w:shd w:val="clear" w:color="auto" w:fill="auto"/>
            <w:vAlign w:val="top"/>
          </w:tcPr>
          <w:p w14:paraId="7F3D75A1">
            <w:pPr>
              <w:keepNext w:val="0"/>
              <w:keepLines w:val="0"/>
              <w:widowControl/>
              <w:suppressLineNumbers w:val="0"/>
              <w:spacing w:before="0" w:beforeAutospacing="0" w:after="0" w:afterAutospacing="0"/>
              <w:ind w:left="0" w:right="0"/>
              <w:jc w:val="left"/>
              <w:textAlignment w:val="top"/>
            </w:pPr>
          </w:p>
        </w:tc>
      </w:tr>
      <w:tr w14:paraId="15CF8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57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7F31EF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3</w:t>
            </w:r>
          </w:p>
        </w:tc>
        <w:tc>
          <w:tcPr>
            <w:tcW w:w="67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16074E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言语表达</w:t>
            </w:r>
          </w:p>
        </w:tc>
        <w:tc>
          <w:tcPr>
            <w:tcW w:w="62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3B47EF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6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279947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善于交流，口齿清楚，语速适宜，表达准确，简洁、流畅；较强的口头表达能力，善于倾听，能够表达自己观点。</w:t>
            </w:r>
          </w:p>
        </w:tc>
        <w:tc>
          <w:tcPr>
            <w:tcW w:w="6" w:type="dxa"/>
            <w:tcBorders>
              <w:top w:val="nil"/>
              <w:left w:val="nil"/>
              <w:bottom w:val="nil"/>
              <w:right w:val="nil"/>
            </w:tcBorders>
            <w:shd w:val="clear" w:color="auto" w:fill="auto"/>
            <w:vAlign w:val="top"/>
          </w:tcPr>
          <w:p w14:paraId="264387A2">
            <w:pPr>
              <w:keepNext w:val="0"/>
              <w:keepLines w:val="0"/>
              <w:widowControl/>
              <w:suppressLineNumbers w:val="0"/>
              <w:spacing w:before="0" w:beforeAutospacing="0" w:after="0" w:afterAutospacing="0"/>
              <w:ind w:left="0" w:right="0"/>
              <w:jc w:val="left"/>
              <w:textAlignment w:val="top"/>
            </w:pPr>
          </w:p>
        </w:tc>
      </w:tr>
      <w:tr w14:paraId="32EB5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57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63B9DAC4">
            <w:pPr>
              <w:rPr>
                <w:rFonts w:hint="eastAsia" w:ascii="宋体"/>
                <w:sz w:val="24"/>
                <w:szCs w:val="24"/>
              </w:rPr>
            </w:pPr>
          </w:p>
        </w:tc>
        <w:tc>
          <w:tcPr>
            <w:tcW w:w="67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6DCD9ABA">
            <w:pPr>
              <w:rPr>
                <w:rFonts w:hint="eastAsia" w:ascii="宋体"/>
                <w:sz w:val="24"/>
                <w:szCs w:val="24"/>
              </w:rPr>
            </w:pPr>
          </w:p>
        </w:tc>
        <w:tc>
          <w:tcPr>
            <w:tcW w:w="62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644E84E1">
            <w:pPr>
              <w:rPr>
                <w:rFonts w:hint="eastAsia" w:ascii="宋体"/>
                <w:sz w:val="24"/>
                <w:szCs w:val="24"/>
              </w:rPr>
            </w:pPr>
          </w:p>
        </w:tc>
        <w:tc>
          <w:tcPr>
            <w:tcW w:w="416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49EC1DE0">
            <w:pPr>
              <w:rPr>
                <w:rFonts w:hint="eastAsia" w:ascii="宋体"/>
                <w:sz w:val="24"/>
                <w:szCs w:val="24"/>
              </w:rPr>
            </w:pPr>
          </w:p>
        </w:tc>
        <w:tc>
          <w:tcPr>
            <w:tcW w:w="6" w:type="dxa"/>
            <w:tcBorders>
              <w:top w:val="nil"/>
              <w:left w:val="nil"/>
              <w:bottom w:val="nil"/>
              <w:right w:val="nil"/>
            </w:tcBorders>
            <w:shd w:val="clear" w:color="auto" w:fill="auto"/>
            <w:vAlign w:val="top"/>
          </w:tcPr>
          <w:p w14:paraId="52974254">
            <w:pPr>
              <w:keepNext w:val="0"/>
              <w:keepLines w:val="0"/>
              <w:widowControl/>
              <w:suppressLineNumbers w:val="0"/>
              <w:spacing w:before="0" w:beforeAutospacing="0" w:after="0" w:afterAutospacing="0"/>
              <w:ind w:left="0" w:right="0"/>
              <w:jc w:val="left"/>
              <w:textAlignment w:val="top"/>
            </w:pPr>
          </w:p>
        </w:tc>
      </w:tr>
      <w:tr w14:paraId="78127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57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58AEE3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4</w:t>
            </w:r>
          </w:p>
        </w:tc>
        <w:tc>
          <w:tcPr>
            <w:tcW w:w="67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7A0383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职业素养</w:t>
            </w:r>
          </w:p>
        </w:tc>
        <w:tc>
          <w:tcPr>
            <w:tcW w:w="62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5603B7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6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05D016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有责任和担当意识，对社会具有责任感，有追求公平正义的职业理想；具有诚实的品格，有寻找真相的勇气；具有团队意识、互助精神、有创新观念。</w:t>
            </w:r>
          </w:p>
        </w:tc>
        <w:tc>
          <w:tcPr>
            <w:tcW w:w="6" w:type="dxa"/>
            <w:tcBorders>
              <w:top w:val="nil"/>
              <w:left w:val="nil"/>
              <w:bottom w:val="nil"/>
              <w:right w:val="nil"/>
            </w:tcBorders>
            <w:shd w:val="clear" w:color="auto" w:fill="auto"/>
            <w:vAlign w:val="top"/>
          </w:tcPr>
          <w:p w14:paraId="507A9BC1">
            <w:pPr>
              <w:keepNext w:val="0"/>
              <w:keepLines w:val="0"/>
              <w:widowControl/>
              <w:suppressLineNumbers w:val="0"/>
              <w:spacing w:before="0" w:beforeAutospacing="0" w:after="0" w:afterAutospacing="0"/>
              <w:ind w:left="0" w:right="0"/>
              <w:jc w:val="left"/>
              <w:textAlignment w:val="top"/>
            </w:pPr>
          </w:p>
        </w:tc>
      </w:tr>
      <w:tr w14:paraId="12454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57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48CA9E97">
            <w:pPr>
              <w:rPr>
                <w:rFonts w:hint="eastAsia" w:ascii="宋体"/>
                <w:sz w:val="24"/>
                <w:szCs w:val="24"/>
              </w:rPr>
            </w:pPr>
          </w:p>
        </w:tc>
        <w:tc>
          <w:tcPr>
            <w:tcW w:w="67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3DCAF17B">
            <w:pPr>
              <w:rPr>
                <w:rFonts w:hint="eastAsia" w:ascii="宋体"/>
                <w:sz w:val="24"/>
                <w:szCs w:val="24"/>
              </w:rPr>
            </w:pPr>
          </w:p>
        </w:tc>
        <w:tc>
          <w:tcPr>
            <w:tcW w:w="62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47111B34">
            <w:pPr>
              <w:rPr>
                <w:rFonts w:hint="eastAsia" w:ascii="宋体"/>
                <w:sz w:val="24"/>
                <w:szCs w:val="24"/>
              </w:rPr>
            </w:pPr>
          </w:p>
        </w:tc>
        <w:tc>
          <w:tcPr>
            <w:tcW w:w="416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4EF82D34">
            <w:pPr>
              <w:rPr>
                <w:rFonts w:hint="eastAsia" w:ascii="宋体"/>
                <w:sz w:val="24"/>
                <w:szCs w:val="24"/>
              </w:rPr>
            </w:pPr>
          </w:p>
        </w:tc>
        <w:tc>
          <w:tcPr>
            <w:tcW w:w="6" w:type="dxa"/>
            <w:tcBorders>
              <w:top w:val="nil"/>
              <w:left w:val="nil"/>
              <w:bottom w:val="nil"/>
              <w:right w:val="nil"/>
            </w:tcBorders>
            <w:shd w:val="clear" w:color="auto" w:fill="auto"/>
            <w:vAlign w:val="top"/>
          </w:tcPr>
          <w:p w14:paraId="15EA257F">
            <w:pPr>
              <w:keepNext w:val="0"/>
              <w:keepLines w:val="0"/>
              <w:widowControl/>
              <w:suppressLineNumbers w:val="0"/>
              <w:spacing w:before="0" w:beforeAutospacing="0" w:after="0" w:afterAutospacing="0"/>
              <w:ind w:left="0" w:right="0"/>
              <w:jc w:val="left"/>
              <w:textAlignment w:val="top"/>
            </w:pPr>
          </w:p>
        </w:tc>
      </w:tr>
      <w:tr w14:paraId="24CB3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50" w:hRule="atLeast"/>
        </w:trPr>
        <w:tc>
          <w:tcPr>
            <w:tcW w:w="57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1A91B41D">
            <w:pPr>
              <w:rPr>
                <w:rFonts w:hint="eastAsia" w:ascii="宋体"/>
                <w:sz w:val="24"/>
                <w:szCs w:val="24"/>
              </w:rPr>
            </w:pPr>
          </w:p>
        </w:tc>
        <w:tc>
          <w:tcPr>
            <w:tcW w:w="67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587298EB">
            <w:pPr>
              <w:rPr>
                <w:rFonts w:hint="eastAsia" w:ascii="宋体"/>
                <w:sz w:val="24"/>
                <w:szCs w:val="24"/>
              </w:rPr>
            </w:pPr>
          </w:p>
        </w:tc>
        <w:tc>
          <w:tcPr>
            <w:tcW w:w="62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1962F0A9">
            <w:pPr>
              <w:rPr>
                <w:rFonts w:hint="eastAsia" w:ascii="宋体"/>
                <w:sz w:val="24"/>
                <w:szCs w:val="24"/>
              </w:rPr>
            </w:pPr>
          </w:p>
        </w:tc>
        <w:tc>
          <w:tcPr>
            <w:tcW w:w="416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7BD76CC6">
            <w:pPr>
              <w:rPr>
                <w:rFonts w:hint="eastAsia" w:ascii="宋体"/>
                <w:sz w:val="24"/>
                <w:szCs w:val="24"/>
              </w:rPr>
            </w:pPr>
          </w:p>
        </w:tc>
        <w:tc>
          <w:tcPr>
            <w:tcW w:w="6" w:type="dxa"/>
            <w:tcBorders>
              <w:top w:val="nil"/>
              <w:left w:val="nil"/>
              <w:bottom w:val="nil"/>
              <w:right w:val="nil"/>
            </w:tcBorders>
            <w:shd w:val="clear" w:color="auto" w:fill="auto"/>
            <w:vAlign w:val="top"/>
          </w:tcPr>
          <w:p w14:paraId="2BA6186A">
            <w:pPr>
              <w:keepNext w:val="0"/>
              <w:keepLines w:val="0"/>
              <w:widowControl/>
              <w:suppressLineNumbers w:val="0"/>
              <w:spacing w:before="0" w:beforeAutospacing="0" w:after="0" w:afterAutospacing="0"/>
              <w:ind w:left="0" w:right="0"/>
              <w:jc w:val="left"/>
              <w:textAlignment w:val="top"/>
            </w:pPr>
          </w:p>
        </w:tc>
      </w:tr>
      <w:tr w14:paraId="45252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57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3F611D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5</w:t>
            </w:r>
          </w:p>
        </w:tc>
        <w:tc>
          <w:tcPr>
            <w:tcW w:w="67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0F96AE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思维品质</w:t>
            </w:r>
          </w:p>
        </w:tc>
        <w:tc>
          <w:tcPr>
            <w:tcW w:w="62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697E7C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6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00820D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思维严密，条理清晰，逻辑性强；能够看待问题全面，思维灵活，有较好的应变能力和创新意识。</w:t>
            </w:r>
          </w:p>
        </w:tc>
        <w:tc>
          <w:tcPr>
            <w:tcW w:w="6" w:type="dxa"/>
            <w:tcBorders>
              <w:top w:val="nil"/>
              <w:left w:val="nil"/>
              <w:bottom w:val="nil"/>
              <w:right w:val="nil"/>
            </w:tcBorders>
            <w:shd w:val="clear" w:color="auto" w:fill="auto"/>
            <w:vAlign w:val="top"/>
          </w:tcPr>
          <w:p w14:paraId="6501EB57">
            <w:pPr>
              <w:keepNext w:val="0"/>
              <w:keepLines w:val="0"/>
              <w:widowControl/>
              <w:suppressLineNumbers w:val="0"/>
              <w:spacing w:before="0" w:beforeAutospacing="0" w:after="0" w:afterAutospacing="0"/>
              <w:ind w:left="0" w:right="0"/>
              <w:jc w:val="left"/>
              <w:textAlignment w:val="top"/>
            </w:pPr>
          </w:p>
        </w:tc>
      </w:tr>
      <w:tr w14:paraId="44719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10" w:hRule="atLeast"/>
        </w:trPr>
        <w:tc>
          <w:tcPr>
            <w:tcW w:w="57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2042C919">
            <w:pPr>
              <w:rPr>
                <w:rFonts w:hint="eastAsia" w:ascii="宋体"/>
                <w:sz w:val="24"/>
                <w:szCs w:val="24"/>
              </w:rPr>
            </w:pPr>
          </w:p>
        </w:tc>
        <w:tc>
          <w:tcPr>
            <w:tcW w:w="67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673AF2F7">
            <w:pPr>
              <w:rPr>
                <w:rFonts w:hint="eastAsia" w:ascii="宋体"/>
                <w:sz w:val="24"/>
                <w:szCs w:val="24"/>
              </w:rPr>
            </w:pPr>
          </w:p>
        </w:tc>
        <w:tc>
          <w:tcPr>
            <w:tcW w:w="62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1B60B310">
            <w:pPr>
              <w:rPr>
                <w:rFonts w:hint="eastAsia" w:ascii="宋体"/>
                <w:sz w:val="24"/>
                <w:szCs w:val="24"/>
              </w:rPr>
            </w:pPr>
          </w:p>
        </w:tc>
        <w:tc>
          <w:tcPr>
            <w:tcW w:w="416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1F283668">
            <w:pPr>
              <w:rPr>
                <w:rFonts w:hint="eastAsia" w:ascii="宋体"/>
                <w:sz w:val="24"/>
                <w:szCs w:val="24"/>
              </w:rPr>
            </w:pPr>
          </w:p>
        </w:tc>
        <w:tc>
          <w:tcPr>
            <w:tcW w:w="6" w:type="dxa"/>
            <w:tcBorders>
              <w:top w:val="nil"/>
              <w:left w:val="nil"/>
              <w:bottom w:val="nil"/>
              <w:right w:val="nil"/>
            </w:tcBorders>
            <w:shd w:val="clear" w:color="auto" w:fill="auto"/>
            <w:vAlign w:val="top"/>
          </w:tcPr>
          <w:p w14:paraId="7680D5A2">
            <w:pPr>
              <w:keepNext w:val="0"/>
              <w:keepLines w:val="0"/>
              <w:widowControl/>
              <w:suppressLineNumbers w:val="0"/>
              <w:spacing w:before="0" w:beforeAutospacing="0" w:after="0" w:afterAutospacing="0"/>
              <w:ind w:left="0" w:right="0"/>
              <w:jc w:val="left"/>
              <w:textAlignment w:val="top"/>
            </w:pPr>
          </w:p>
        </w:tc>
      </w:tr>
    </w:tbl>
    <w:p w14:paraId="52457DB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B1B2A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pPr>
      <w:r>
        <w:rPr>
          <w:rFonts w:hint="eastAsia" w:ascii="仿宋" w:hAnsi="仿宋" w:eastAsia="仿宋" w:cs="仿宋"/>
          <w:i w:val="0"/>
          <w:iCs w:val="0"/>
          <w:caps w:val="0"/>
          <w:color w:val="000000"/>
          <w:spacing w:val="0"/>
          <w:sz w:val="21"/>
          <w:szCs w:val="21"/>
        </w:rPr>
        <w:t>2.信息安全</w:t>
      </w:r>
    </w:p>
    <w:p w14:paraId="1CDD3E6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tbl>
      <w:tblPr>
        <w:tblStyle w:val="3"/>
        <w:tblW w:w="6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00"/>
        <w:gridCol w:w="697"/>
        <w:gridCol w:w="640"/>
        <w:gridCol w:w="4112"/>
        <w:gridCol w:w="11"/>
      </w:tblGrid>
      <w:tr w14:paraId="6D55C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left w:w="70" w:type="dxa"/>
              <w:right w:w="70" w:type="dxa"/>
            </w:tcMar>
            <w:vAlign w:val="top"/>
          </w:tcPr>
          <w:p w14:paraId="2A4163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序号</w:t>
            </w:r>
          </w:p>
        </w:tc>
        <w:tc>
          <w:tcPr>
            <w:tcW w:w="700" w:type="dxa"/>
            <w:vMerge w:val="restart"/>
            <w:tcBorders>
              <w:top w:val="single" w:color="000000" w:sz="4" w:space="0"/>
              <w:left w:val="nil"/>
              <w:bottom w:val="single" w:color="000000" w:sz="4" w:space="0"/>
              <w:right w:val="single" w:color="000000" w:sz="4" w:space="0"/>
            </w:tcBorders>
            <w:shd w:val="clear" w:color="auto" w:fill="auto"/>
            <w:tcMar>
              <w:left w:w="70" w:type="dxa"/>
              <w:right w:w="70" w:type="dxa"/>
            </w:tcMar>
            <w:vAlign w:val="top"/>
          </w:tcPr>
          <w:p w14:paraId="470170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测试项目</w:t>
            </w:r>
          </w:p>
        </w:tc>
        <w:tc>
          <w:tcPr>
            <w:tcW w:w="640" w:type="dxa"/>
            <w:vMerge w:val="restart"/>
            <w:tcBorders>
              <w:top w:val="single" w:color="000000" w:sz="4" w:space="0"/>
              <w:left w:val="nil"/>
              <w:bottom w:val="single" w:color="000000" w:sz="4" w:space="0"/>
              <w:right w:val="single" w:color="000000" w:sz="4" w:space="0"/>
            </w:tcBorders>
            <w:shd w:val="clear" w:color="auto" w:fill="auto"/>
            <w:noWrap/>
            <w:tcMar>
              <w:left w:w="70" w:type="dxa"/>
              <w:right w:w="70" w:type="dxa"/>
            </w:tcMar>
            <w:vAlign w:val="top"/>
          </w:tcPr>
          <w:p w14:paraId="0EB14C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分值</w:t>
            </w:r>
          </w:p>
        </w:tc>
        <w:tc>
          <w:tcPr>
            <w:tcW w:w="4140" w:type="dxa"/>
            <w:vMerge w:val="restart"/>
            <w:tcBorders>
              <w:top w:val="single" w:color="000000" w:sz="4" w:space="0"/>
              <w:left w:val="nil"/>
              <w:bottom w:val="single" w:color="000000" w:sz="4" w:space="0"/>
              <w:right w:val="single" w:color="000000" w:sz="4" w:space="0"/>
            </w:tcBorders>
            <w:shd w:val="clear" w:color="auto" w:fill="auto"/>
            <w:tcMar>
              <w:left w:w="70" w:type="dxa"/>
              <w:right w:w="70" w:type="dxa"/>
            </w:tcMar>
            <w:vAlign w:val="top"/>
          </w:tcPr>
          <w:p w14:paraId="35DBBD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评分标准</w:t>
            </w:r>
          </w:p>
        </w:tc>
        <w:tc>
          <w:tcPr>
            <w:tcW w:w="6" w:type="dxa"/>
            <w:tcBorders>
              <w:top w:val="nil"/>
              <w:left w:val="nil"/>
              <w:bottom w:val="nil"/>
              <w:right w:val="nil"/>
            </w:tcBorders>
            <w:shd w:val="clear" w:color="auto" w:fill="auto"/>
            <w:vAlign w:val="top"/>
          </w:tcPr>
          <w:p w14:paraId="67128F60">
            <w:pPr>
              <w:keepNext w:val="0"/>
              <w:keepLines w:val="0"/>
              <w:widowControl/>
              <w:suppressLineNumbers w:val="0"/>
              <w:spacing w:before="0" w:beforeAutospacing="0" w:after="0" w:afterAutospacing="0"/>
              <w:ind w:left="0" w:right="0"/>
              <w:jc w:val="left"/>
              <w:textAlignment w:val="top"/>
            </w:pPr>
          </w:p>
        </w:tc>
      </w:tr>
      <w:tr w14:paraId="742E5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left w:w="70" w:type="dxa"/>
              <w:right w:w="70" w:type="dxa"/>
            </w:tcMar>
            <w:vAlign w:val="top"/>
          </w:tcPr>
          <w:p w14:paraId="18FF76AC">
            <w:pPr>
              <w:rPr>
                <w:rFonts w:hint="eastAsia" w:ascii="宋体"/>
                <w:sz w:val="24"/>
                <w:szCs w:val="24"/>
              </w:rPr>
            </w:pPr>
          </w:p>
        </w:tc>
        <w:tc>
          <w:tcPr>
            <w:tcW w:w="700" w:type="dxa"/>
            <w:vMerge w:val="continue"/>
            <w:tcBorders>
              <w:top w:val="single" w:color="000000" w:sz="4" w:space="0"/>
              <w:left w:val="nil"/>
              <w:bottom w:val="single" w:color="000000" w:sz="4" w:space="0"/>
              <w:right w:val="single" w:color="000000" w:sz="4" w:space="0"/>
            </w:tcBorders>
            <w:shd w:val="clear" w:color="auto" w:fill="auto"/>
            <w:tcMar>
              <w:left w:w="70" w:type="dxa"/>
              <w:right w:w="70" w:type="dxa"/>
            </w:tcMar>
            <w:vAlign w:val="top"/>
          </w:tcPr>
          <w:p w14:paraId="44947D49">
            <w:pPr>
              <w:rPr>
                <w:rFonts w:hint="eastAsia" w:ascii="宋体"/>
                <w:sz w:val="24"/>
                <w:szCs w:val="24"/>
              </w:rPr>
            </w:pPr>
          </w:p>
        </w:tc>
        <w:tc>
          <w:tcPr>
            <w:tcW w:w="640" w:type="dxa"/>
            <w:vMerge w:val="continue"/>
            <w:tcBorders>
              <w:top w:val="single" w:color="000000" w:sz="4" w:space="0"/>
              <w:left w:val="nil"/>
              <w:bottom w:val="single" w:color="000000" w:sz="4" w:space="0"/>
              <w:right w:val="single" w:color="000000" w:sz="4" w:space="0"/>
            </w:tcBorders>
            <w:shd w:val="clear" w:color="auto" w:fill="auto"/>
            <w:noWrap/>
            <w:tcMar>
              <w:left w:w="70" w:type="dxa"/>
              <w:right w:w="70" w:type="dxa"/>
            </w:tcMar>
            <w:vAlign w:val="top"/>
          </w:tcPr>
          <w:p w14:paraId="1296D19D">
            <w:pPr>
              <w:rPr>
                <w:rFonts w:hint="eastAsia" w:ascii="宋体"/>
                <w:sz w:val="24"/>
                <w:szCs w:val="24"/>
              </w:rPr>
            </w:pPr>
          </w:p>
        </w:tc>
        <w:tc>
          <w:tcPr>
            <w:tcW w:w="4140" w:type="dxa"/>
            <w:vMerge w:val="continue"/>
            <w:tcBorders>
              <w:top w:val="single" w:color="000000" w:sz="4" w:space="0"/>
              <w:left w:val="nil"/>
              <w:bottom w:val="single" w:color="000000" w:sz="4" w:space="0"/>
              <w:right w:val="single" w:color="000000" w:sz="4" w:space="0"/>
            </w:tcBorders>
            <w:shd w:val="clear" w:color="auto" w:fill="auto"/>
            <w:tcMar>
              <w:left w:w="70" w:type="dxa"/>
              <w:right w:w="70" w:type="dxa"/>
            </w:tcMar>
            <w:vAlign w:val="top"/>
          </w:tcPr>
          <w:p w14:paraId="5488EF0B">
            <w:pPr>
              <w:rPr>
                <w:rFonts w:hint="eastAsia" w:ascii="宋体"/>
                <w:sz w:val="24"/>
                <w:szCs w:val="24"/>
              </w:rPr>
            </w:pPr>
          </w:p>
        </w:tc>
        <w:tc>
          <w:tcPr>
            <w:tcW w:w="6" w:type="dxa"/>
            <w:tcBorders>
              <w:top w:val="nil"/>
              <w:left w:val="nil"/>
              <w:bottom w:val="nil"/>
              <w:right w:val="nil"/>
            </w:tcBorders>
            <w:shd w:val="clear" w:color="auto" w:fill="auto"/>
            <w:vAlign w:val="top"/>
          </w:tcPr>
          <w:p w14:paraId="2194C742">
            <w:pPr>
              <w:keepNext w:val="0"/>
              <w:keepLines w:val="0"/>
              <w:widowControl/>
              <w:suppressLineNumbers w:val="0"/>
              <w:spacing w:before="0" w:beforeAutospacing="0" w:after="0" w:afterAutospacing="0"/>
              <w:ind w:left="0" w:right="0"/>
              <w:jc w:val="left"/>
              <w:textAlignment w:val="top"/>
            </w:pPr>
          </w:p>
        </w:tc>
      </w:tr>
      <w:tr w14:paraId="7755E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90" w:hRule="atLeast"/>
        </w:trPr>
        <w:tc>
          <w:tcPr>
            <w:tcW w:w="60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3B3CB8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1</w:t>
            </w:r>
          </w:p>
        </w:tc>
        <w:tc>
          <w:tcPr>
            <w:tcW w:w="70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2E06BC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职业道德</w:t>
            </w:r>
          </w:p>
        </w:tc>
        <w:tc>
          <w:tcPr>
            <w:tcW w:w="64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48B3EA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4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0F5E72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了解信息安全相关的法律法规和伦理规范，如《中华人民共和国网络安全法》等，有合规意识和法律素养。关注信息安全领域的最新技术和发展趋势，具备持续更新技术知识的能力。</w:t>
            </w:r>
          </w:p>
        </w:tc>
        <w:tc>
          <w:tcPr>
            <w:tcW w:w="6" w:type="dxa"/>
            <w:tcBorders>
              <w:top w:val="nil"/>
              <w:left w:val="nil"/>
              <w:bottom w:val="nil"/>
              <w:right w:val="nil"/>
            </w:tcBorders>
            <w:shd w:val="clear" w:color="auto" w:fill="auto"/>
            <w:vAlign w:val="top"/>
          </w:tcPr>
          <w:p w14:paraId="2F897D70">
            <w:pPr>
              <w:keepNext w:val="0"/>
              <w:keepLines w:val="0"/>
              <w:widowControl/>
              <w:suppressLineNumbers w:val="0"/>
              <w:spacing w:before="0" w:beforeAutospacing="0" w:after="0" w:afterAutospacing="0"/>
              <w:ind w:left="0" w:right="0"/>
              <w:jc w:val="left"/>
              <w:textAlignment w:val="top"/>
            </w:pPr>
          </w:p>
        </w:tc>
      </w:tr>
      <w:tr w14:paraId="1A60A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90" w:hRule="atLeast"/>
        </w:trPr>
        <w:tc>
          <w:tcPr>
            <w:tcW w:w="60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40E092A4">
            <w:pPr>
              <w:rPr>
                <w:rFonts w:hint="eastAsia" w:ascii="宋体"/>
                <w:sz w:val="24"/>
                <w:szCs w:val="24"/>
              </w:rPr>
            </w:pPr>
          </w:p>
        </w:tc>
        <w:tc>
          <w:tcPr>
            <w:tcW w:w="70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4677BA49">
            <w:pPr>
              <w:rPr>
                <w:rFonts w:hint="eastAsia" w:ascii="宋体"/>
                <w:sz w:val="24"/>
                <w:szCs w:val="24"/>
              </w:rPr>
            </w:pPr>
          </w:p>
        </w:tc>
        <w:tc>
          <w:tcPr>
            <w:tcW w:w="64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75000DD5">
            <w:pPr>
              <w:rPr>
                <w:rFonts w:hint="eastAsia" w:ascii="宋体"/>
                <w:sz w:val="24"/>
                <w:szCs w:val="24"/>
              </w:rPr>
            </w:pPr>
          </w:p>
        </w:tc>
        <w:tc>
          <w:tcPr>
            <w:tcW w:w="414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69489414">
            <w:pPr>
              <w:rPr>
                <w:rFonts w:hint="eastAsia" w:ascii="宋体"/>
                <w:sz w:val="24"/>
                <w:szCs w:val="24"/>
              </w:rPr>
            </w:pPr>
          </w:p>
        </w:tc>
        <w:tc>
          <w:tcPr>
            <w:tcW w:w="6" w:type="dxa"/>
            <w:tcBorders>
              <w:top w:val="nil"/>
              <w:left w:val="nil"/>
              <w:bottom w:val="nil"/>
              <w:right w:val="nil"/>
            </w:tcBorders>
            <w:shd w:val="clear" w:color="auto" w:fill="auto"/>
            <w:vAlign w:val="top"/>
          </w:tcPr>
          <w:p w14:paraId="240E5AAB">
            <w:pPr>
              <w:keepNext w:val="0"/>
              <w:keepLines w:val="0"/>
              <w:widowControl/>
              <w:suppressLineNumbers w:val="0"/>
              <w:spacing w:before="0" w:beforeAutospacing="0" w:after="0" w:afterAutospacing="0"/>
              <w:ind w:left="0" w:right="0"/>
              <w:jc w:val="left"/>
              <w:textAlignment w:val="top"/>
            </w:pPr>
          </w:p>
        </w:tc>
      </w:tr>
      <w:tr w14:paraId="1F886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0" w:hRule="atLeast"/>
        </w:trPr>
        <w:tc>
          <w:tcPr>
            <w:tcW w:w="60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438156AD">
            <w:pPr>
              <w:rPr>
                <w:rFonts w:hint="eastAsia" w:ascii="宋体"/>
                <w:sz w:val="24"/>
                <w:szCs w:val="24"/>
              </w:rPr>
            </w:pPr>
          </w:p>
        </w:tc>
        <w:tc>
          <w:tcPr>
            <w:tcW w:w="70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6764BCCC">
            <w:pPr>
              <w:rPr>
                <w:rFonts w:hint="eastAsia" w:ascii="宋体"/>
                <w:sz w:val="24"/>
                <w:szCs w:val="24"/>
              </w:rPr>
            </w:pPr>
          </w:p>
        </w:tc>
        <w:tc>
          <w:tcPr>
            <w:tcW w:w="64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308C6605">
            <w:pPr>
              <w:rPr>
                <w:rFonts w:hint="eastAsia" w:ascii="宋体"/>
                <w:sz w:val="24"/>
                <w:szCs w:val="24"/>
              </w:rPr>
            </w:pPr>
          </w:p>
        </w:tc>
        <w:tc>
          <w:tcPr>
            <w:tcW w:w="414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1ACD59ED">
            <w:pPr>
              <w:rPr>
                <w:rFonts w:hint="eastAsia" w:ascii="宋体"/>
                <w:sz w:val="24"/>
                <w:szCs w:val="24"/>
              </w:rPr>
            </w:pPr>
          </w:p>
        </w:tc>
        <w:tc>
          <w:tcPr>
            <w:tcW w:w="6" w:type="dxa"/>
            <w:tcBorders>
              <w:top w:val="nil"/>
              <w:left w:val="nil"/>
              <w:bottom w:val="nil"/>
              <w:right w:val="nil"/>
            </w:tcBorders>
            <w:shd w:val="clear" w:color="auto" w:fill="auto"/>
            <w:vAlign w:val="top"/>
          </w:tcPr>
          <w:p w14:paraId="587BC319">
            <w:pPr>
              <w:keepNext w:val="0"/>
              <w:keepLines w:val="0"/>
              <w:widowControl/>
              <w:suppressLineNumbers w:val="0"/>
              <w:spacing w:before="0" w:beforeAutospacing="0" w:after="0" w:afterAutospacing="0"/>
              <w:ind w:left="0" w:right="0"/>
              <w:jc w:val="left"/>
              <w:textAlignment w:val="top"/>
            </w:pPr>
          </w:p>
        </w:tc>
      </w:tr>
      <w:tr w14:paraId="76021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trPr>
        <w:tc>
          <w:tcPr>
            <w:tcW w:w="60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474DB2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2</w:t>
            </w:r>
          </w:p>
        </w:tc>
        <w:tc>
          <w:tcPr>
            <w:tcW w:w="70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6369E1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对信息安全的认识</w:t>
            </w:r>
          </w:p>
        </w:tc>
        <w:tc>
          <w:tcPr>
            <w:tcW w:w="64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0B6BF2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4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1C6BB7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了解常见的信息安全威胁和攻击手段，如病毒、木马、网络漏洞等。</w:t>
            </w:r>
          </w:p>
        </w:tc>
        <w:tc>
          <w:tcPr>
            <w:tcW w:w="6" w:type="dxa"/>
            <w:tcBorders>
              <w:top w:val="nil"/>
              <w:left w:val="nil"/>
              <w:bottom w:val="nil"/>
              <w:right w:val="nil"/>
            </w:tcBorders>
            <w:shd w:val="clear" w:color="auto" w:fill="auto"/>
            <w:vAlign w:val="top"/>
          </w:tcPr>
          <w:p w14:paraId="042C45DC">
            <w:pPr>
              <w:keepNext w:val="0"/>
              <w:keepLines w:val="0"/>
              <w:widowControl/>
              <w:suppressLineNumbers w:val="0"/>
              <w:spacing w:before="0" w:beforeAutospacing="0" w:after="0" w:afterAutospacing="0"/>
              <w:ind w:left="0" w:right="0"/>
              <w:jc w:val="left"/>
              <w:textAlignment w:val="top"/>
            </w:pPr>
          </w:p>
        </w:tc>
      </w:tr>
      <w:tr w14:paraId="42AAA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01" w:hRule="atLeast"/>
        </w:trPr>
        <w:tc>
          <w:tcPr>
            <w:tcW w:w="60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0AD8626A">
            <w:pPr>
              <w:rPr>
                <w:rFonts w:hint="eastAsia" w:ascii="宋体"/>
                <w:sz w:val="24"/>
                <w:szCs w:val="24"/>
              </w:rPr>
            </w:pPr>
          </w:p>
        </w:tc>
        <w:tc>
          <w:tcPr>
            <w:tcW w:w="70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55BC35BA">
            <w:pPr>
              <w:rPr>
                <w:rFonts w:hint="eastAsia" w:ascii="宋体"/>
                <w:sz w:val="24"/>
                <w:szCs w:val="24"/>
              </w:rPr>
            </w:pPr>
          </w:p>
        </w:tc>
        <w:tc>
          <w:tcPr>
            <w:tcW w:w="64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40CB92D8">
            <w:pPr>
              <w:rPr>
                <w:rFonts w:hint="eastAsia" w:ascii="宋体"/>
                <w:sz w:val="24"/>
                <w:szCs w:val="24"/>
              </w:rPr>
            </w:pPr>
          </w:p>
        </w:tc>
        <w:tc>
          <w:tcPr>
            <w:tcW w:w="414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4F988930">
            <w:pPr>
              <w:rPr>
                <w:rFonts w:hint="eastAsia" w:ascii="宋体"/>
                <w:sz w:val="24"/>
                <w:szCs w:val="24"/>
              </w:rPr>
            </w:pPr>
          </w:p>
        </w:tc>
        <w:tc>
          <w:tcPr>
            <w:tcW w:w="6" w:type="dxa"/>
            <w:tcBorders>
              <w:top w:val="nil"/>
              <w:left w:val="nil"/>
              <w:bottom w:val="nil"/>
              <w:right w:val="nil"/>
            </w:tcBorders>
            <w:shd w:val="clear" w:color="auto" w:fill="auto"/>
            <w:vAlign w:val="top"/>
          </w:tcPr>
          <w:p w14:paraId="4E19933D">
            <w:pPr>
              <w:keepNext w:val="0"/>
              <w:keepLines w:val="0"/>
              <w:widowControl/>
              <w:suppressLineNumbers w:val="0"/>
              <w:spacing w:before="0" w:beforeAutospacing="0" w:after="0" w:afterAutospacing="0"/>
              <w:ind w:left="0" w:right="0"/>
              <w:jc w:val="left"/>
              <w:textAlignment w:val="top"/>
            </w:pPr>
          </w:p>
        </w:tc>
      </w:tr>
      <w:tr w14:paraId="57453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90" w:hRule="atLeast"/>
        </w:trPr>
        <w:tc>
          <w:tcPr>
            <w:tcW w:w="60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5EED9D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3</w:t>
            </w:r>
          </w:p>
        </w:tc>
        <w:tc>
          <w:tcPr>
            <w:tcW w:w="70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1D29B5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数学基础</w:t>
            </w:r>
          </w:p>
        </w:tc>
        <w:tc>
          <w:tcPr>
            <w:tcW w:w="64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5B1B66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4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248D1B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具备高等数学、线性代数等数学基础，了解密码学的基本原理和方法。</w:t>
            </w:r>
          </w:p>
        </w:tc>
        <w:tc>
          <w:tcPr>
            <w:tcW w:w="6" w:type="dxa"/>
            <w:tcBorders>
              <w:top w:val="nil"/>
              <w:left w:val="nil"/>
              <w:bottom w:val="nil"/>
              <w:right w:val="nil"/>
            </w:tcBorders>
            <w:shd w:val="clear" w:color="auto" w:fill="auto"/>
            <w:vAlign w:val="top"/>
          </w:tcPr>
          <w:p w14:paraId="7B9C67E9">
            <w:pPr>
              <w:keepNext w:val="0"/>
              <w:keepLines w:val="0"/>
              <w:widowControl/>
              <w:suppressLineNumbers w:val="0"/>
              <w:spacing w:before="0" w:beforeAutospacing="0" w:after="0" w:afterAutospacing="0"/>
              <w:ind w:left="0" w:right="0"/>
              <w:jc w:val="left"/>
              <w:textAlignment w:val="top"/>
            </w:pPr>
          </w:p>
        </w:tc>
      </w:tr>
      <w:tr w14:paraId="0F20D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60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6D5EDAE8">
            <w:pPr>
              <w:rPr>
                <w:rFonts w:hint="eastAsia" w:ascii="宋体"/>
                <w:sz w:val="24"/>
                <w:szCs w:val="24"/>
              </w:rPr>
            </w:pPr>
          </w:p>
        </w:tc>
        <w:tc>
          <w:tcPr>
            <w:tcW w:w="70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13EB64AA">
            <w:pPr>
              <w:rPr>
                <w:rFonts w:hint="eastAsia" w:ascii="宋体"/>
                <w:sz w:val="24"/>
                <w:szCs w:val="24"/>
              </w:rPr>
            </w:pPr>
          </w:p>
        </w:tc>
        <w:tc>
          <w:tcPr>
            <w:tcW w:w="64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53E985C2">
            <w:pPr>
              <w:rPr>
                <w:rFonts w:hint="eastAsia" w:ascii="宋体"/>
                <w:sz w:val="24"/>
                <w:szCs w:val="24"/>
              </w:rPr>
            </w:pPr>
          </w:p>
        </w:tc>
        <w:tc>
          <w:tcPr>
            <w:tcW w:w="414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1B9277B4">
            <w:pPr>
              <w:rPr>
                <w:rFonts w:hint="eastAsia" w:ascii="宋体"/>
                <w:sz w:val="24"/>
                <w:szCs w:val="24"/>
              </w:rPr>
            </w:pPr>
          </w:p>
        </w:tc>
        <w:tc>
          <w:tcPr>
            <w:tcW w:w="6" w:type="dxa"/>
            <w:tcBorders>
              <w:top w:val="nil"/>
              <w:left w:val="nil"/>
              <w:bottom w:val="nil"/>
              <w:right w:val="nil"/>
            </w:tcBorders>
            <w:shd w:val="clear" w:color="auto" w:fill="auto"/>
            <w:vAlign w:val="top"/>
          </w:tcPr>
          <w:p w14:paraId="47A76033">
            <w:pPr>
              <w:keepNext w:val="0"/>
              <w:keepLines w:val="0"/>
              <w:widowControl/>
              <w:suppressLineNumbers w:val="0"/>
              <w:spacing w:before="0" w:beforeAutospacing="0" w:after="0" w:afterAutospacing="0"/>
              <w:ind w:left="0" w:right="0"/>
              <w:jc w:val="left"/>
              <w:textAlignment w:val="top"/>
            </w:pPr>
          </w:p>
        </w:tc>
      </w:tr>
      <w:tr w14:paraId="3AFBB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90" w:hRule="atLeast"/>
        </w:trPr>
        <w:tc>
          <w:tcPr>
            <w:tcW w:w="60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730146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4</w:t>
            </w:r>
          </w:p>
        </w:tc>
        <w:tc>
          <w:tcPr>
            <w:tcW w:w="70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351FA9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计算机基础知识</w:t>
            </w:r>
          </w:p>
        </w:tc>
        <w:tc>
          <w:tcPr>
            <w:tcW w:w="64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73C401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4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34EE8D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了解操作系统、数据结构、基本算法、数据库等，掌握基本的程序设计与开发的知识。</w:t>
            </w:r>
          </w:p>
        </w:tc>
        <w:tc>
          <w:tcPr>
            <w:tcW w:w="6" w:type="dxa"/>
            <w:tcBorders>
              <w:top w:val="nil"/>
              <w:left w:val="nil"/>
              <w:bottom w:val="nil"/>
              <w:right w:val="nil"/>
            </w:tcBorders>
            <w:shd w:val="clear" w:color="auto" w:fill="auto"/>
            <w:vAlign w:val="top"/>
          </w:tcPr>
          <w:p w14:paraId="4F938602">
            <w:pPr>
              <w:keepNext w:val="0"/>
              <w:keepLines w:val="0"/>
              <w:widowControl/>
              <w:suppressLineNumbers w:val="0"/>
              <w:spacing w:before="0" w:beforeAutospacing="0" w:after="0" w:afterAutospacing="0"/>
              <w:ind w:left="0" w:right="0"/>
              <w:jc w:val="left"/>
              <w:textAlignment w:val="top"/>
            </w:pPr>
          </w:p>
        </w:tc>
      </w:tr>
      <w:tr w14:paraId="128F7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90" w:hRule="atLeast"/>
        </w:trPr>
        <w:tc>
          <w:tcPr>
            <w:tcW w:w="60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5E6D7798">
            <w:pPr>
              <w:rPr>
                <w:rFonts w:hint="eastAsia" w:ascii="宋体"/>
                <w:sz w:val="24"/>
                <w:szCs w:val="24"/>
              </w:rPr>
            </w:pPr>
          </w:p>
        </w:tc>
        <w:tc>
          <w:tcPr>
            <w:tcW w:w="70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188E52F5">
            <w:pPr>
              <w:rPr>
                <w:rFonts w:hint="eastAsia" w:ascii="宋体"/>
                <w:sz w:val="24"/>
                <w:szCs w:val="24"/>
              </w:rPr>
            </w:pPr>
          </w:p>
        </w:tc>
        <w:tc>
          <w:tcPr>
            <w:tcW w:w="64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610E86D7">
            <w:pPr>
              <w:rPr>
                <w:rFonts w:hint="eastAsia" w:ascii="宋体"/>
                <w:sz w:val="24"/>
                <w:szCs w:val="24"/>
              </w:rPr>
            </w:pPr>
          </w:p>
        </w:tc>
        <w:tc>
          <w:tcPr>
            <w:tcW w:w="414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466159CE">
            <w:pPr>
              <w:rPr>
                <w:rFonts w:hint="eastAsia" w:ascii="宋体"/>
                <w:sz w:val="24"/>
                <w:szCs w:val="24"/>
              </w:rPr>
            </w:pPr>
          </w:p>
        </w:tc>
        <w:tc>
          <w:tcPr>
            <w:tcW w:w="6" w:type="dxa"/>
            <w:tcBorders>
              <w:top w:val="nil"/>
              <w:left w:val="nil"/>
              <w:bottom w:val="nil"/>
              <w:right w:val="nil"/>
            </w:tcBorders>
            <w:shd w:val="clear" w:color="auto" w:fill="auto"/>
            <w:vAlign w:val="top"/>
          </w:tcPr>
          <w:p w14:paraId="00FAD542">
            <w:pPr>
              <w:keepNext w:val="0"/>
              <w:keepLines w:val="0"/>
              <w:widowControl/>
              <w:suppressLineNumbers w:val="0"/>
              <w:spacing w:before="0" w:beforeAutospacing="0" w:after="0" w:afterAutospacing="0"/>
              <w:ind w:left="0" w:right="0"/>
              <w:jc w:val="left"/>
              <w:textAlignment w:val="top"/>
            </w:pPr>
          </w:p>
        </w:tc>
      </w:tr>
      <w:tr w14:paraId="7625F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60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66A7D95D">
            <w:pPr>
              <w:rPr>
                <w:rFonts w:hint="eastAsia" w:ascii="宋体"/>
                <w:sz w:val="24"/>
                <w:szCs w:val="24"/>
              </w:rPr>
            </w:pPr>
          </w:p>
        </w:tc>
        <w:tc>
          <w:tcPr>
            <w:tcW w:w="70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36F2782D">
            <w:pPr>
              <w:rPr>
                <w:rFonts w:hint="eastAsia" w:ascii="宋体"/>
                <w:sz w:val="24"/>
                <w:szCs w:val="24"/>
              </w:rPr>
            </w:pPr>
          </w:p>
        </w:tc>
        <w:tc>
          <w:tcPr>
            <w:tcW w:w="64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6A6D4FB6">
            <w:pPr>
              <w:rPr>
                <w:rFonts w:hint="eastAsia" w:ascii="宋体"/>
                <w:sz w:val="24"/>
                <w:szCs w:val="24"/>
              </w:rPr>
            </w:pPr>
          </w:p>
        </w:tc>
        <w:tc>
          <w:tcPr>
            <w:tcW w:w="414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731B30D4">
            <w:pPr>
              <w:rPr>
                <w:rFonts w:hint="eastAsia" w:ascii="宋体"/>
                <w:sz w:val="24"/>
                <w:szCs w:val="24"/>
              </w:rPr>
            </w:pPr>
          </w:p>
        </w:tc>
        <w:tc>
          <w:tcPr>
            <w:tcW w:w="6" w:type="dxa"/>
            <w:tcBorders>
              <w:top w:val="nil"/>
              <w:left w:val="nil"/>
              <w:bottom w:val="nil"/>
              <w:right w:val="nil"/>
            </w:tcBorders>
            <w:shd w:val="clear" w:color="auto" w:fill="auto"/>
            <w:vAlign w:val="top"/>
          </w:tcPr>
          <w:p w14:paraId="3ECB0A56">
            <w:pPr>
              <w:keepNext w:val="0"/>
              <w:keepLines w:val="0"/>
              <w:widowControl/>
              <w:suppressLineNumbers w:val="0"/>
              <w:spacing w:before="0" w:beforeAutospacing="0" w:after="0" w:afterAutospacing="0"/>
              <w:ind w:left="0" w:right="0"/>
              <w:jc w:val="left"/>
              <w:textAlignment w:val="top"/>
            </w:pPr>
          </w:p>
        </w:tc>
      </w:tr>
      <w:tr w14:paraId="1EB66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0" w:hRule="atLeast"/>
        </w:trPr>
        <w:tc>
          <w:tcPr>
            <w:tcW w:w="600" w:type="dxa"/>
            <w:vMerge w:val="restart"/>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225085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pPr>
            <w:r>
              <w:rPr>
                <w:rFonts w:hint="eastAsia" w:ascii="仿宋" w:hAnsi="仿宋" w:eastAsia="仿宋" w:cs="仿宋"/>
                <w:sz w:val="21"/>
                <w:szCs w:val="21"/>
              </w:rPr>
              <w:t>5</w:t>
            </w:r>
          </w:p>
        </w:tc>
        <w:tc>
          <w:tcPr>
            <w:tcW w:w="70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0E23BA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计算机网络原理</w:t>
            </w:r>
          </w:p>
        </w:tc>
        <w:tc>
          <w:tcPr>
            <w:tcW w:w="640" w:type="dxa"/>
            <w:vMerge w:val="restart"/>
            <w:tcBorders>
              <w:top w:val="nil"/>
              <w:left w:val="nil"/>
              <w:bottom w:val="single" w:color="000000" w:sz="4" w:space="0"/>
              <w:right w:val="single" w:color="000000" w:sz="4" w:space="0"/>
            </w:tcBorders>
            <w:shd w:val="clear" w:color="auto" w:fill="auto"/>
            <w:noWrap/>
            <w:tcMar>
              <w:left w:w="70" w:type="dxa"/>
              <w:right w:w="70" w:type="dxa"/>
            </w:tcMar>
            <w:vAlign w:val="top"/>
          </w:tcPr>
          <w:p w14:paraId="4F6782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20</w:t>
            </w:r>
          </w:p>
        </w:tc>
        <w:tc>
          <w:tcPr>
            <w:tcW w:w="4140" w:type="dxa"/>
            <w:vMerge w:val="restart"/>
            <w:tcBorders>
              <w:top w:val="nil"/>
              <w:left w:val="nil"/>
              <w:bottom w:val="single" w:color="000000" w:sz="4" w:space="0"/>
              <w:right w:val="single" w:color="000000" w:sz="4" w:space="0"/>
            </w:tcBorders>
            <w:shd w:val="clear" w:color="auto" w:fill="auto"/>
            <w:tcMar>
              <w:left w:w="70" w:type="dxa"/>
              <w:right w:w="70" w:type="dxa"/>
            </w:tcMar>
            <w:vAlign w:val="top"/>
          </w:tcPr>
          <w:p w14:paraId="5F6973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left"/>
            </w:pPr>
            <w:r>
              <w:rPr>
                <w:rFonts w:hint="eastAsia" w:ascii="仿宋" w:hAnsi="仿宋" w:eastAsia="仿宋" w:cs="仿宋"/>
                <w:sz w:val="21"/>
                <w:szCs w:val="21"/>
              </w:rPr>
              <w:t>了解计算机网络原理，包括网络结构、TCP/IP协议等。</w:t>
            </w:r>
          </w:p>
        </w:tc>
        <w:tc>
          <w:tcPr>
            <w:tcW w:w="6" w:type="dxa"/>
            <w:tcBorders>
              <w:top w:val="nil"/>
              <w:left w:val="nil"/>
              <w:bottom w:val="nil"/>
              <w:right w:val="nil"/>
            </w:tcBorders>
            <w:shd w:val="clear" w:color="auto" w:fill="auto"/>
            <w:vAlign w:val="top"/>
          </w:tcPr>
          <w:p w14:paraId="2F829E9D">
            <w:pPr>
              <w:keepNext w:val="0"/>
              <w:keepLines w:val="0"/>
              <w:widowControl/>
              <w:suppressLineNumbers w:val="0"/>
              <w:spacing w:before="0" w:beforeAutospacing="0" w:after="0" w:afterAutospacing="0"/>
              <w:ind w:left="0" w:right="0"/>
              <w:jc w:val="left"/>
              <w:textAlignment w:val="top"/>
            </w:pPr>
          </w:p>
        </w:tc>
      </w:tr>
      <w:tr w14:paraId="598F8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00" w:hRule="atLeast"/>
        </w:trPr>
        <w:tc>
          <w:tcPr>
            <w:tcW w:w="600" w:type="dxa"/>
            <w:vMerge w:val="continue"/>
            <w:tcBorders>
              <w:top w:val="nil"/>
              <w:left w:val="single" w:color="000000" w:sz="4" w:space="0"/>
              <w:bottom w:val="single" w:color="000000" w:sz="4" w:space="0"/>
              <w:right w:val="single" w:color="000000" w:sz="4" w:space="0"/>
            </w:tcBorders>
            <w:shd w:val="clear" w:color="auto" w:fill="auto"/>
            <w:noWrap/>
            <w:tcMar>
              <w:left w:w="70" w:type="dxa"/>
              <w:right w:w="70" w:type="dxa"/>
            </w:tcMar>
            <w:vAlign w:val="top"/>
          </w:tcPr>
          <w:p w14:paraId="11E1D183">
            <w:pPr>
              <w:rPr>
                <w:rFonts w:hint="eastAsia" w:ascii="宋体"/>
                <w:sz w:val="24"/>
                <w:szCs w:val="24"/>
              </w:rPr>
            </w:pPr>
          </w:p>
        </w:tc>
        <w:tc>
          <w:tcPr>
            <w:tcW w:w="70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050B446F">
            <w:pPr>
              <w:rPr>
                <w:rFonts w:hint="eastAsia" w:ascii="宋体"/>
                <w:sz w:val="24"/>
                <w:szCs w:val="24"/>
              </w:rPr>
            </w:pPr>
          </w:p>
        </w:tc>
        <w:tc>
          <w:tcPr>
            <w:tcW w:w="640" w:type="dxa"/>
            <w:vMerge w:val="continue"/>
            <w:tcBorders>
              <w:top w:val="nil"/>
              <w:left w:val="nil"/>
              <w:bottom w:val="single" w:color="000000" w:sz="4" w:space="0"/>
              <w:right w:val="single" w:color="000000" w:sz="4" w:space="0"/>
            </w:tcBorders>
            <w:shd w:val="clear" w:color="auto" w:fill="auto"/>
            <w:noWrap/>
            <w:tcMar>
              <w:left w:w="70" w:type="dxa"/>
              <w:right w:w="70" w:type="dxa"/>
            </w:tcMar>
            <w:vAlign w:val="top"/>
          </w:tcPr>
          <w:p w14:paraId="089FEFB3">
            <w:pPr>
              <w:rPr>
                <w:rFonts w:hint="eastAsia" w:ascii="宋体"/>
                <w:sz w:val="24"/>
                <w:szCs w:val="24"/>
              </w:rPr>
            </w:pPr>
          </w:p>
        </w:tc>
        <w:tc>
          <w:tcPr>
            <w:tcW w:w="4140" w:type="dxa"/>
            <w:vMerge w:val="continue"/>
            <w:tcBorders>
              <w:top w:val="nil"/>
              <w:left w:val="nil"/>
              <w:bottom w:val="single" w:color="000000" w:sz="4" w:space="0"/>
              <w:right w:val="single" w:color="000000" w:sz="4" w:space="0"/>
            </w:tcBorders>
            <w:shd w:val="clear" w:color="auto" w:fill="auto"/>
            <w:tcMar>
              <w:left w:w="70" w:type="dxa"/>
              <w:right w:w="70" w:type="dxa"/>
            </w:tcMar>
            <w:vAlign w:val="top"/>
          </w:tcPr>
          <w:p w14:paraId="3B13D839">
            <w:pPr>
              <w:rPr>
                <w:rFonts w:hint="eastAsia" w:ascii="宋体"/>
                <w:sz w:val="24"/>
                <w:szCs w:val="24"/>
              </w:rPr>
            </w:pPr>
          </w:p>
        </w:tc>
        <w:tc>
          <w:tcPr>
            <w:tcW w:w="6" w:type="dxa"/>
            <w:tcBorders>
              <w:top w:val="nil"/>
              <w:left w:val="nil"/>
              <w:bottom w:val="nil"/>
              <w:right w:val="nil"/>
            </w:tcBorders>
            <w:shd w:val="clear" w:color="auto" w:fill="auto"/>
            <w:vAlign w:val="top"/>
          </w:tcPr>
          <w:p w14:paraId="475845D0">
            <w:pPr>
              <w:keepNext w:val="0"/>
              <w:keepLines w:val="0"/>
              <w:widowControl/>
              <w:suppressLineNumbers w:val="0"/>
              <w:spacing w:before="0" w:beforeAutospacing="0" w:after="0" w:afterAutospacing="0"/>
              <w:ind w:left="0" w:right="0"/>
              <w:jc w:val="left"/>
              <w:textAlignment w:val="top"/>
            </w:pPr>
          </w:p>
        </w:tc>
      </w:tr>
    </w:tbl>
    <w:p w14:paraId="2E50034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C997B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黑体" w:hAnsi="宋体" w:eastAsia="黑体" w:cs="黑体"/>
          <w:i w:val="0"/>
          <w:iCs w:val="0"/>
          <w:caps w:val="0"/>
          <w:color w:val="000000"/>
          <w:spacing w:val="0"/>
          <w:sz w:val="21"/>
          <w:szCs w:val="21"/>
        </w:rPr>
        <w:t>七、录取原则</w:t>
      </w:r>
    </w:p>
    <w:p w14:paraId="7A05621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3D459D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（一）严格按照江西省教育考试院的相关要求，录取工作遵循公开、公平、公正的原则，实施阳光招生，学校纪委全程监督招生报名、综合考查、录取全过程，监督举报电话：（0791-88673028）。</w:t>
      </w:r>
    </w:p>
    <w:p w14:paraId="34299B4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978E4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（二）综合考查成绩当场告知考生本人，排名情况将于2025年3月10日在学校官网公布。</w:t>
      </w:r>
    </w:p>
    <w:p w14:paraId="4B1685A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165423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（三）退役大学生士兵根据本人综合考查排名情况，在规定的时间内，登录江西省教育考试院网“专升本志愿填报系统”填报志愿，每位考生可选报1-2个高校及相应专业。</w:t>
      </w:r>
    </w:p>
    <w:p w14:paraId="0319E08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459799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（四）江西省教育考试院依据我校综合评价合格名单及退役大学生士兵填报的志愿，按照2个梯度志愿顺序投档，学校按要求及时完成考生档案下载、阅档并上传预录、预退档信息。</w:t>
      </w:r>
    </w:p>
    <w:p w14:paraId="54D0973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09364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（五）未能录取的退役大学生士兵，可在规定时间内按照江西省教育考试院公布的缺额计划，网上填报1个征集志愿（专业须大体对应）。</w:t>
      </w:r>
    </w:p>
    <w:p w14:paraId="1104B23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177355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六）已被免试录取的退役大学生士兵不再具有参加统一考试资格。未被免试录取的退役大学生士兵可以参加统一考试及录取。专升本录取后未报到、自行放弃入学资格的退役大学生士兵，不再享受免试专升本政策。</w:t>
      </w:r>
    </w:p>
    <w:p w14:paraId="75E1C5A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F91B6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（七）资格审查贯穿考试录取全过程。对不符合报名、录取条件的考生，确认后一律取消资格。省教育厅负责对学校最终拟录取考生名单进行前置学历资格复查。对不符合录取条件的考生，将取消录取资格。</w:t>
      </w:r>
    </w:p>
    <w:p w14:paraId="41859B1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47A827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黑体" w:hAnsi="宋体" w:eastAsia="黑体" w:cs="黑体"/>
          <w:i w:val="0"/>
          <w:iCs w:val="0"/>
          <w:caps w:val="0"/>
          <w:color w:val="000000"/>
          <w:spacing w:val="0"/>
          <w:sz w:val="21"/>
          <w:szCs w:val="21"/>
        </w:rPr>
        <w:t>八、入学复查和学籍管理</w:t>
      </w:r>
    </w:p>
    <w:p w14:paraId="4E6AE69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5D096A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（一）新生凭录取通知书、退役证件和普通高校高职（专科）毕业证书原件到江西司法警官职业学院报到注册。</w:t>
      </w:r>
    </w:p>
    <w:p w14:paraId="391F9D9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35DD37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（二）新生入学后，学校将进行全面复查，加强录取资格审核，入学资格复查。对不符合要求以及弄虚作假、违纪舞弊者，取消其入学资格，并报江西省教育考试院备案。</w:t>
      </w:r>
    </w:p>
    <w:p w14:paraId="1E86DCC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214A4D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（三）专升本学生毕业时，其毕业证书上标注“在本校XX专业专科起点本科学习”，学习时间按进入本科阶段学习和颁发毕业证实际时间填写。</w:t>
      </w:r>
    </w:p>
    <w:p w14:paraId="7C36489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8160B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430"/>
      </w:pPr>
      <w:r>
        <w:rPr>
          <w:rFonts w:hint="eastAsia" w:ascii="仿宋" w:hAnsi="仿宋" w:eastAsia="仿宋" w:cs="仿宋"/>
          <w:i w:val="0"/>
          <w:iCs w:val="0"/>
          <w:caps w:val="0"/>
          <w:color w:val="000000"/>
          <w:spacing w:val="0"/>
          <w:sz w:val="21"/>
          <w:szCs w:val="21"/>
        </w:rPr>
        <w:t>  </w:t>
      </w:r>
    </w:p>
    <w:p w14:paraId="48327A9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29BFF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pPr>
      <w:r>
        <w:rPr>
          <w:rFonts w:hint="eastAsia" w:ascii="仿宋" w:hAnsi="仿宋" w:eastAsia="仿宋" w:cs="仿宋"/>
          <w:i w:val="0"/>
          <w:iCs w:val="0"/>
          <w:caps w:val="0"/>
          <w:color w:val="000000"/>
          <w:spacing w:val="0"/>
          <w:sz w:val="21"/>
          <w:szCs w:val="21"/>
        </w:rPr>
        <w:t>                                   江西警察学院</w:t>
      </w:r>
    </w:p>
    <w:p w14:paraId="2AB4786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05AF27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pPr>
      <w:r>
        <w:rPr>
          <w:rFonts w:hint="eastAsia" w:ascii="仿宋" w:hAnsi="仿宋" w:eastAsia="仿宋" w:cs="仿宋"/>
          <w:i w:val="0"/>
          <w:iCs w:val="0"/>
          <w:caps w:val="0"/>
          <w:color w:val="000000"/>
          <w:spacing w:val="0"/>
          <w:sz w:val="21"/>
          <w:szCs w:val="21"/>
        </w:rPr>
        <w:t>                                   2025年1月25日 </w:t>
      </w:r>
    </w:p>
    <w:p w14:paraId="3D09A01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66" w:lineRule="atLeast"/>
        <w:ind w:left="0" w:right="0" w:hanging="360"/>
        <w:rPr>
          <w:sz w:val="14"/>
          <w:szCs w:val="14"/>
        </w:rPr>
      </w:pPr>
    </w:p>
    <w:p w14:paraId="6942DB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å®‹ä½“">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29314"/>
    <w:multiLevelType w:val="multilevel"/>
    <w:tmpl w:val="12C2931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8A66D1"/>
    <w:rsid w:val="77890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1941</Words>
  <Characters>2135</Characters>
  <Lines>0</Lines>
  <Paragraphs>0</Paragraphs>
  <TotalTime>0</TotalTime>
  <ScaleCrop>false</ScaleCrop>
  <LinksUpToDate>false</LinksUpToDate>
  <CharactersWithSpaces>2148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2025-02-18T09:56:00Z</dcterms:created>
  <dc:creator>DELL</dc:creator>
  <cp:lastModifiedBy>长乐</cp:lastModifiedBy>
  <dcterms:modified xsi:type="dcterms:W3CDTF">2025-02-20T04:30:19Z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6ED59A227FEC41D08FF02CC3C293B848_12</vt:lpwstr>
  </property>
</Properties>
</file>