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227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ind w:left="0" w:right="0" w:firstLine="0"/>
        <w:jc w:val="center"/>
        <w:rPr>
          <w:rFonts w:hint="default" w:ascii="Times New Roman" w:hAnsi="Times New Roman" w:cs="Times New Roman"/>
          <w:i w:val="0"/>
          <w:iCs w:val="0"/>
          <w:caps w:val="0"/>
          <w:color w:val="000000"/>
          <w:spacing w:val="0"/>
          <w:sz w:val="27"/>
          <w:szCs w:val="27"/>
          <w:u w:val="none"/>
        </w:rPr>
      </w:pPr>
      <w:r>
        <w:rPr>
          <w:rFonts w:hint="default" w:ascii="Times New Roman" w:hAnsi="Times New Roman" w:cs="Times New Roman"/>
          <w:b/>
          <w:bCs/>
          <w:i w:val="0"/>
          <w:iCs w:val="0"/>
          <w:caps w:val="0"/>
          <w:color w:val="000000"/>
          <w:spacing w:val="0"/>
          <w:sz w:val="27"/>
          <w:szCs w:val="27"/>
          <w:u w:val="none"/>
          <w:bdr w:val="none" w:color="auto" w:sz="0" w:space="0"/>
          <w:shd w:val="clear" w:fill="FFFFFF"/>
        </w:rPr>
        <w:t>新余学院2025年专升本考试招生简章</w:t>
      </w:r>
    </w:p>
    <w:p w14:paraId="4205F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根据江西省教育厅发布《江西省2025年普通高校专升本考试招生实施方案》（赣教高字〔2024〕53 号）、《关于做好江西省2025年普通高校专升本考试招生报名工作的通知》（赣考院普[2024]28号）等文件相关规定，我校继续面向全省高校选拔优秀应届普通高职（专科）毕业生及退役大学生士兵进入我校相应专业学习（简称“专升本”）。本着公开、公平、公正、择优的选拔原则，特制定本招生简章。</w:t>
      </w:r>
    </w:p>
    <w:p w14:paraId="2A2EB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一、学校概况</w:t>
      </w:r>
    </w:p>
    <w:p w14:paraId="109FB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（一）学校全称：新余学院</w:t>
      </w:r>
    </w:p>
    <w:p w14:paraId="3F08C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（二）国标代码：11508</w:t>
      </w:r>
    </w:p>
    <w:p w14:paraId="72D7A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（三）主管部门：江西省教育厅</w:t>
      </w:r>
    </w:p>
    <w:p w14:paraId="7BD05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（四）学校性质：省属公办普通高等院校</w:t>
      </w:r>
    </w:p>
    <w:p w14:paraId="0FEC2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（五）办学类型：全日制统招普通本科</w:t>
      </w:r>
    </w:p>
    <w:p w14:paraId="31F70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（六）校址：江西省新余市高新区阳光大道2666号 邮编：338004</w:t>
      </w:r>
    </w:p>
    <w:p w14:paraId="0BABB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二、组织机构</w:t>
      </w:r>
    </w:p>
    <w:p w14:paraId="60230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（一）学校成立招生工作领导小组，全面负责学校2025年专升本招生工作，制定2025年专升本招生工作政策，决定有关2025年专升本招生的重大事宜。</w:t>
      </w:r>
      <w:r>
        <w:rPr>
          <w:rFonts w:hint="eastAsia" w:ascii="仿宋" w:hAnsi="仿宋" w:eastAsia="仿宋" w:cs="仿宋"/>
          <w:i w:val="0"/>
          <w:iCs w:val="0"/>
          <w:caps w:val="0"/>
          <w:color w:val="000000"/>
          <w:spacing w:val="0"/>
          <w:sz w:val="19"/>
          <w:szCs w:val="19"/>
          <w:u w:val="none"/>
          <w:bdr w:val="none" w:color="auto" w:sz="0" w:space="0"/>
          <w:shd w:val="clear" w:fill="FFFFFF"/>
        </w:rPr>
        <w:br w:type="textWrapping"/>
      </w:r>
      <w:r>
        <w:rPr>
          <w:rFonts w:hint="eastAsia" w:ascii="仿宋" w:hAnsi="仿宋" w:eastAsia="仿宋" w:cs="仿宋"/>
          <w:i w:val="0"/>
          <w:iCs w:val="0"/>
          <w:caps w:val="0"/>
          <w:color w:val="000000"/>
          <w:spacing w:val="0"/>
          <w:sz w:val="19"/>
          <w:szCs w:val="19"/>
          <w:u w:val="none"/>
          <w:bdr w:val="none" w:color="auto" w:sz="0" w:space="0"/>
          <w:shd w:val="clear" w:fill="FFFFFF"/>
        </w:rPr>
        <w:t>（二）学校招生与就业工作处是组织和实施2025年专升本招生工作的常设机构，具体负责学校2025年专升本招生工作。未授权或委托任何中介（培训）机构或个人开展2025年专升本招生活动。</w:t>
      </w:r>
      <w:r>
        <w:rPr>
          <w:rFonts w:hint="eastAsia" w:ascii="仿宋" w:hAnsi="仿宋" w:eastAsia="仿宋" w:cs="仿宋"/>
          <w:i w:val="0"/>
          <w:iCs w:val="0"/>
          <w:caps w:val="0"/>
          <w:color w:val="000000"/>
          <w:spacing w:val="0"/>
          <w:sz w:val="19"/>
          <w:szCs w:val="19"/>
          <w:u w:val="none"/>
          <w:bdr w:val="none" w:color="auto" w:sz="0" w:space="0"/>
          <w:shd w:val="clear" w:fill="FFFFFF"/>
        </w:rPr>
        <w:br w:type="textWrapping"/>
      </w:r>
      <w:r>
        <w:rPr>
          <w:rFonts w:hint="eastAsia" w:ascii="仿宋" w:hAnsi="仿宋" w:eastAsia="仿宋" w:cs="仿宋"/>
          <w:i w:val="0"/>
          <w:iCs w:val="0"/>
          <w:caps w:val="0"/>
          <w:color w:val="000000"/>
          <w:spacing w:val="0"/>
          <w:sz w:val="19"/>
          <w:szCs w:val="19"/>
          <w:u w:val="none"/>
          <w:bdr w:val="none" w:color="auto" w:sz="0" w:space="0"/>
          <w:shd w:val="clear" w:fill="FFFFFF"/>
        </w:rPr>
        <w:t>（三）学校纪检部门对2025年专升本招生工作实施监督，负责监督招生工作各项政策和规定的落实，维护广大考生和学校的合法权益。 </w:t>
      </w:r>
    </w:p>
    <w:p w14:paraId="1BE37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 三、招生专业、计划及学费</w:t>
      </w:r>
    </w:p>
    <w:p w14:paraId="49853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我校2025年专升本招生专业6个，共招收专升本学生300名。凡经选拔考试进入我校本科阶段学习的专升本学生，按照所录专业所读年级的学费和住宿费收费标准交纳有关费用（以学校财务部门公布为准）。</w:t>
      </w:r>
    </w:p>
    <w:p w14:paraId="40FD4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我校2025年专升本招生专业、计划及学费如下。</w:t>
      </w:r>
    </w:p>
    <w:p w14:paraId="1086E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联合培养招生</w:t>
      </w:r>
    </w:p>
    <w:tbl>
      <w:tblPr>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5"/>
        <w:gridCol w:w="1665"/>
        <w:gridCol w:w="547"/>
        <w:gridCol w:w="458"/>
        <w:gridCol w:w="669"/>
        <w:gridCol w:w="669"/>
        <w:gridCol w:w="669"/>
        <w:gridCol w:w="458"/>
        <w:gridCol w:w="563"/>
        <w:gridCol w:w="1491"/>
        <w:gridCol w:w="777"/>
      </w:tblGrid>
      <w:tr w14:paraId="280F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 w:hRule="atLeast"/>
          <w:tblCellSpacing w:w="0" w:type="dxa"/>
        </w:trPr>
        <w:tc>
          <w:tcPr>
            <w:tcW w:w="532"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52616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序号</w:t>
            </w:r>
          </w:p>
        </w:tc>
        <w:tc>
          <w:tcPr>
            <w:tcW w:w="2918"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7C8CC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招生专业</w:t>
            </w:r>
          </w:p>
        </w:tc>
        <w:tc>
          <w:tcPr>
            <w:tcW w:w="948" w:type="dxa"/>
            <w:vMerge w:val="restart"/>
            <w:tcBorders>
              <w:top w:val="single" w:color="000000" w:sz="2" w:space="0"/>
              <w:left w:val="single" w:color="000000" w:sz="2" w:space="0"/>
              <w:right w:val="single" w:color="000000" w:sz="2" w:space="0"/>
            </w:tcBorders>
            <w:shd w:val="clear" w:color="auto" w:fill="FFFFFF"/>
            <w:vAlign w:val="center"/>
          </w:tcPr>
          <w:p w14:paraId="63986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招生类别</w:t>
            </w:r>
          </w:p>
        </w:tc>
        <w:tc>
          <w:tcPr>
            <w:tcW w:w="7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54D94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普通</w:t>
            </w:r>
          </w:p>
          <w:p w14:paraId="0B0E6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计划</w:t>
            </w:r>
          </w:p>
        </w:tc>
        <w:tc>
          <w:tcPr>
            <w:tcW w:w="360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14:paraId="17D7B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专项招生计划</w:t>
            </w:r>
          </w:p>
        </w:tc>
        <w:tc>
          <w:tcPr>
            <w:tcW w:w="7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21090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计划</w:t>
            </w:r>
          </w:p>
          <w:p w14:paraId="1B5807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总数</w:t>
            </w:r>
          </w:p>
        </w:tc>
        <w:tc>
          <w:tcPr>
            <w:tcW w:w="960" w:type="dxa"/>
            <w:vMerge w:val="restart"/>
            <w:tcBorders>
              <w:top w:val="single" w:color="000000" w:sz="2" w:space="0"/>
              <w:left w:val="single" w:color="000000" w:sz="2" w:space="0"/>
              <w:right w:val="single" w:color="000000" w:sz="2" w:space="0"/>
            </w:tcBorders>
            <w:shd w:val="clear" w:color="auto" w:fill="FFFFFF"/>
            <w:vAlign w:val="center"/>
          </w:tcPr>
          <w:p w14:paraId="6E828D67">
            <w:pPr>
              <w:keepNext w:val="0"/>
              <w:keepLines w:val="0"/>
              <w:widowControl/>
              <w:suppressLineNumbers w:val="0"/>
              <w:wordWrap w:val="0"/>
              <w:spacing w:before="0" w:beforeAutospacing="0" w:after="0" w:afterAutospacing="0"/>
              <w:ind w:left="0" w:right="0"/>
              <w:jc w:val="left"/>
              <w:rPr>
                <w:rFonts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t>​</w:t>
            </w:r>
          </w:p>
          <w:p w14:paraId="38D4A6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是否联合培养</w:t>
            </w:r>
          </w:p>
        </w:tc>
        <w:tc>
          <w:tcPr>
            <w:tcW w:w="2899" w:type="dxa"/>
            <w:vMerge w:val="restart"/>
            <w:tcBorders>
              <w:top w:val="single" w:color="000000" w:sz="2" w:space="0"/>
              <w:left w:val="single" w:color="000000" w:sz="2" w:space="0"/>
              <w:right w:val="single" w:color="000000" w:sz="2" w:space="0"/>
            </w:tcBorders>
            <w:shd w:val="clear" w:color="auto" w:fill="FFFFFF"/>
            <w:vAlign w:val="center"/>
          </w:tcPr>
          <w:p w14:paraId="51252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联合培养学校</w:t>
            </w:r>
          </w:p>
        </w:tc>
        <w:tc>
          <w:tcPr>
            <w:tcW w:w="1251" w:type="dxa"/>
            <w:vMerge w:val="restart"/>
            <w:tcBorders>
              <w:top w:val="single" w:color="000000" w:sz="2" w:space="0"/>
              <w:left w:val="single" w:color="000000" w:sz="2" w:space="0"/>
              <w:right w:val="single" w:color="000000" w:sz="2" w:space="0"/>
            </w:tcBorders>
            <w:shd w:val="clear" w:color="auto" w:fill="FFFFFF"/>
            <w:vAlign w:val="center"/>
          </w:tcPr>
          <w:p w14:paraId="3F058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学费标准</w:t>
            </w:r>
          </w:p>
          <w:p w14:paraId="252C3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（元/年）</w:t>
            </w:r>
          </w:p>
        </w:tc>
      </w:tr>
      <w:tr w14:paraId="12A9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blCellSpacing w:w="0" w:type="dxa"/>
        </w:trPr>
        <w:tc>
          <w:tcPr>
            <w:tcW w:w="532"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6BA712EE">
            <w:pPr>
              <w:rPr>
                <w:rFonts w:hint="eastAsia" w:ascii="微软雅黑" w:hAnsi="微软雅黑" w:eastAsia="微软雅黑" w:cs="微软雅黑"/>
                <w:i w:val="0"/>
                <w:iCs w:val="0"/>
                <w:caps w:val="0"/>
                <w:color w:val="000000"/>
                <w:spacing w:val="0"/>
                <w:sz w:val="18"/>
                <w:szCs w:val="18"/>
                <w:u w:val="none"/>
              </w:rPr>
            </w:pPr>
          </w:p>
        </w:tc>
        <w:tc>
          <w:tcPr>
            <w:tcW w:w="2918"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09BF08B8">
            <w:pPr>
              <w:rPr>
                <w:rFonts w:hint="eastAsia" w:ascii="微软雅黑" w:hAnsi="微软雅黑" w:eastAsia="微软雅黑" w:cs="微软雅黑"/>
                <w:i w:val="0"/>
                <w:iCs w:val="0"/>
                <w:caps w:val="0"/>
                <w:color w:val="000000"/>
                <w:spacing w:val="0"/>
                <w:sz w:val="18"/>
                <w:szCs w:val="18"/>
                <w:u w:val="none"/>
              </w:rPr>
            </w:pPr>
          </w:p>
        </w:tc>
        <w:tc>
          <w:tcPr>
            <w:tcW w:w="948" w:type="dxa"/>
            <w:vMerge w:val="continue"/>
            <w:tcBorders>
              <w:top w:val="single" w:color="000000" w:sz="2" w:space="0"/>
              <w:left w:val="single" w:color="000000" w:sz="2" w:space="0"/>
              <w:right w:val="single" w:color="000000" w:sz="2" w:space="0"/>
            </w:tcBorders>
            <w:shd w:val="clear" w:color="auto" w:fill="FFFFFF"/>
            <w:vAlign w:val="center"/>
          </w:tcPr>
          <w:p w14:paraId="07923177">
            <w:pPr>
              <w:rPr>
                <w:rFonts w:hint="eastAsia" w:ascii="微软雅黑" w:hAnsi="微软雅黑" w:eastAsia="微软雅黑" w:cs="微软雅黑"/>
                <w:i w:val="0"/>
                <w:iCs w:val="0"/>
                <w:caps w:val="0"/>
                <w:color w:val="000000"/>
                <w:spacing w:val="0"/>
                <w:sz w:val="18"/>
                <w:szCs w:val="18"/>
                <w:u w:val="none"/>
              </w:rPr>
            </w:pPr>
          </w:p>
        </w:tc>
        <w:tc>
          <w:tcPr>
            <w:tcW w:w="7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24AF935B">
            <w:pPr>
              <w:rPr>
                <w:rFonts w:hint="eastAsia" w:ascii="微软雅黑" w:hAnsi="微软雅黑" w:eastAsia="微软雅黑" w:cs="微软雅黑"/>
                <w:i w:val="0"/>
                <w:iCs w:val="0"/>
                <w:caps w:val="0"/>
                <w:color w:val="000000"/>
                <w:spacing w:val="0"/>
                <w:sz w:val="18"/>
                <w:szCs w:val="18"/>
                <w:u w:val="none"/>
              </w:rPr>
            </w:pP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6CF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脱贫家庭</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B02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获奖学生</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8E8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退役士兵</w:t>
            </w:r>
          </w:p>
        </w:tc>
        <w:tc>
          <w:tcPr>
            <w:tcW w:w="7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5F660792">
            <w:pPr>
              <w:rPr>
                <w:rFonts w:hint="eastAsia" w:ascii="微软雅黑" w:hAnsi="微软雅黑" w:eastAsia="微软雅黑" w:cs="微软雅黑"/>
                <w:i w:val="0"/>
                <w:iCs w:val="0"/>
                <w:caps w:val="0"/>
                <w:color w:val="000000"/>
                <w:spacing w:val="0"/>
                <w:sz w:val="18"/>
                <w:szCs w:val="18"/>
                <w:u w:val="none"/>
              </w:rPr>
            </w:pPr>
          </w:p>
        </w:tc>
        <w:tc>
          <w:tcPr>
            <w:tcW w:w="960" w:type="dxa"/>
            <w:vMerge w:val="continue"/>
            <w:tcBorders>
              <w:top w:val="single" w:color="000000" w:sz="2" w:space="0"/>
              <w:left w:val="single" w:color="000000" w:sz="2" w:space="0"/>
              <w:right w:val="single" w:color="000000" w:sz="2" w:space="0"/>
            </w:tcBorders>
            <w:shd w:val="clear" w:color="auto" w:fill="FFFFFF"/>
            <w:vAlign w:val="center"/>
          </w:tcPr>
          <w:p w14:paraId="2F75B087">
            <w:pPr>
              <w:rPr>
                <w:rFonts w:hint="eastAsia" w:ascii="微软雅黑" w:hAnsi="微软雅黑" w:eastAsia="微软雅黑" w:cs="微软雅黑"/>
                <w:i w:val="0"/>
                <w:iCs w:val="0"/>
                <w:caps w:val="0"/>
                <w:color w:val="000000"/>
                <w:spacing w:val="0"/>
                <w:sz w:val="18"/>
                <w:szCs w:val="18"/>
                <w:u w:val="none"/>
              </w:rPr>
            </w:pPr>
          </w:p>
        </w:tc>
        <w:tc>
          <w:tcPr>
            <w:tcW w:w="2899" w:type="dxa"/>
            <w:vMerge w:val="continue"/>
            <w:tcBorders>
              <w:top w:val="single" w:color="000000" w:sz="2" w:space="0"/>
              <w:left w:val="single" w:color="000000" w:sz="2" w:space="0"/>
              <w:right w:val="single" w:color="000000" w:sz="2" w:space="0"/>
            </w:tcBorders>
            <w:shd w:val="clear" w:color="auto" w:fill="FFFFFF"/>
            <w:vAlign w:val="center"/>
          </w:tcPr>
          <w:p w14:paraId="5E67DD44">
            <w:pPr>
              <w:rPr>
                <w:rFonts w:hint="eastAsia" w:ascii="微软雅黑" w:hAnsi="微软雅黑" w:eastAsia="微软雅黑" w:cs="微软雅黑"/>
                <w:i w:val="0"/>
                <w:iCs w:val="0"/>
                <w:caps w:val="0"/>
                <w:color w:val="000000"/>
                <w:spacing w:val="0"/>
                <w:sz w:val="18"/>
                <w:szCs w:val="18"/>
                <w:u w:val="none"/>
              </w:rPr>
            </w:pPr>
          </w:p>
        </w:tc>
        <w:tc>
          <w:tcPr>
            <w:tcW w:w="1251" w:type="dxa"/>
            <w:vMerge w:val="continue"/>
            <w:tcBorders>
              <w:top w:val="single" w:color="000000" w:sz="2" w:space="0"/>
              <w:left w:val="single" w:color="000000" w:sz="2" w:space="0"/>
              <w:right w:val="single" w:color="000000" w:sz="2" w:space="0"/>
            </w:tcBorders>
            <w:shd w:val="clear" w:color="auto" w:fill="FFFFFF"/>
            <w:vAlign w:val="center"/>
          </w:tcPr>
          <w:p w14:paraId="79A40947">
            <w:pPr>
              <w:rPr>
                <w:rFonts w:hint="eastAsia" w:ascii="微软雅黑" w:hAnsi="微软雅黑" w:eastAsia="微软雅黑" w:cs="微软雅黑"/>
                <w:i w:val="0"/>
                <w:iCs w:val="0"/>
                <w:caps w:val="0"/>
                <w:color w:val="000000"/>
                <w:spacing w:val="0"/>
                <w:sz w:val="18"/>
                <w:szCs w:val="18"/>
                <w:u w:val="none"/>
              </w:rPr>
            </w:pPr>
          </w:p>
        </w:tc>
      </w:tr>
      <w:tr w14:paraId="6713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2C5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E5F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101005</w:t>
            </w:r>
          </w:p>
          <w:p w14:paraId="45A4B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康复治疗学</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689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医学类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EDF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E17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437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927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189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971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7712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宜春职业技术学院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0BD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r w14:paraId="73C3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996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2</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F09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080905</w:t>
            </w:r>
          </w:p>
          <w:p w14:paraId="6297E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物联网工程</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7CA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理工类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9A5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B43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530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C0C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781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C36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223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3"/>
                <w:szCs w:val="13"/>
                <w:u w:val="none"/>
              </w:rPr>
            </w:pPr>
            <w:r>
              <w:rPr>
                <w:rFonts w:hint="eastAsia" w:ascii="仿宋" w:hAnsi="仿宋" w:eastAsia="仿宋" w:cs="仿宋"/>
                <w:i w:val="0"/>
                <w:iCs w:val="0"/>
                <w:caps w:val="0"/>
                <w:color w:val="000000"/>
                <w:spacing w:val="0"/>
                <w:sz w:val="13"/>
                <w:szCs w:val="13"/>
                <w:u w:val="none"/>
                <w:bdr w:val="none" w:color="auto" w:sz="0" w:space="0"/>
              </w:rPr>
              <w:t>江西工业贸易职业技术学院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C7C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r w14:paraId="3672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E5C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7C8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101005</w:t>
            </w:r>
          </w:p>
          <w:p w14:paraId="4C492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康复治疗学</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E15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医学类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95C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D97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BE9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83F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E79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AAF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7B9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赣南卫生健康职业学院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783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r w14:paraId="192B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C30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8A2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101101</w:t>
            </w:r>
          </w:p>
          <w:p w14:paraId="79134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护理学</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496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医学类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25F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A4B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48F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DE3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014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CAD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FE1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赣南卫生健康职业学院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DDC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r w14:paraId="251C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592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DBB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080601</w:t>
            </w:r>
          </w:p>
          <w:p w14:paraId="78BBC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电气工程及其自动化</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866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理工类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388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D1C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981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02F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758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435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53B2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江西冶金职业技术学院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99C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r w14:paraId="0C94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53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C40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6</w:t>
            </w:r>
          </w:p>
        </w:tc>
        <w:tc>
          <w:tcPr>
            <w:tcW w:w="291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72D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080803</w:t>
            </w:r>
          </w:p>
          <w:p w14:paraId="5FDF8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机器人工程</w:t>
            </w:r>
          </w:p>
        </w:tc>
        <w:tc>
          <w:tcPr>
            <w:tcW w:w="94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D1F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理工类</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C25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32</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72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971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3</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45F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w:t>
            </w:r>
          </w:p>
        </w:tc>
        <w:tc>
          <w:tcPr>
            <w:tcW w:w="76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E6A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50</w:t>
            </w:r>
          </w:p>
        </w:tc>
        <w:tc>
          <w:tcPr>
            <w:tcW w:w="9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533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是</w:t>
            </w:r>
          </w:p>
        </w:tc>
        <w:tc>
          <w:tcPr>
            <w:tcW w:w="289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F78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江西冶金职业技术学院</w:t>
            </w:r>
          </w:p>
        </w:tc>
        <w:tc>
          <w:tcPr>
            <w:tcW w:w="125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5B2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4350</w:t>
            </w:r>
          </w:p>
        </w:tc>
      </w:tr>
    </w:tbl>
    <w:p w14:paraId="0AB8A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备注：1.考生填报联合培养专业被录取后学籍为新余学院，培养地点设在各联合培养院校。</w:t>
      </w:r>
    </w:p>
    <w:p w14:paraId="59F4F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2.考生应自行了解知悉行业资格考试报考条件，因专升本学习年限不足、本专科专业不一致等原因导致将来不能参加行业资格证报考的专业，谨慎选择本科专业。例如：《护士条例》第七条及《护士执业资格考试办法》（卫生部 人力资源和社会保障部令第74号 2010年5月10日）第十二条规定，在中等职业学校、高等学校完成国务院教育主管部门和国务院卫生主管部门规定的普通全日制3年以上的护理、助产专业课程学习（专升本中护理本科专业必须与专科专业相同），可以申请参加护士执业资格考试。</w:t>
      </w:r>
    </w:p>
    <w:p w14:paraId="3216A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四、报名条件</w:t>
      </w:r>
    </w:p>
    <w:p w14:paraId="53505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遵守《中华人民共和国宪法》及其他法律法规，身体状况符合相关要求并具备如下条件之一的可以报名：</w:t>
      </w:r>
    </w:p>
    <w:p w14:paraId="2C4CA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（一）江西省2025年普通高职（专科）应届毕业生（在2025年7月31日前可取得毕业证，下同），且在校学习期间无记过及以上纪律处分，或受到纪律处分但报名前已解除处分的。</w:t>
      </w:r>
    </w:p>
    <w:p w14:paraId="7F05C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2025年7月31日前可取得或已取得高职(专科）毕业证的退役大学生士兵，在江西省普通高校高职（专科）就读期间或毕业后应征入伍的；外省普通高校高职（专科）就读期间或毕业后在江西应征入伍的，且在入伍期间和退役后工作学习期间无记过及以上纪律处分，或受到纪律处分但报名前已解除处分的。</w:t>
      </w:r>
    </w:p>
    <w:p w14:paraId="32976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（三）专项考生（含免试生）在满足以上基本条件的同时， 还需满足专项计划所规定的条件。</w:t>
      </w:r>
    </w:p>
    <w:p w14:paraId="1B800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1.脱贫家庭学生。招收脱贫家庭（原建档立卡贫困家庭）高职（专科）应届毕业生。</w:t>
      </w:r>
    </w:p>
    <w:p w14:paraId="58CC4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2.获奖学生（含高水平运动员）。学生在高职（专科）就读期间获得如下奖项之一：①获得世界技能大赛全国选拔赛资格，全国技能大赛一类赛前十名，全国职业院校技能大赛三等奖及以上或世界职业院校技能大赛总决赛争夺赛铜奖及以上，全国大学生数学建模竞赛中获奖，全省职业技能大赛金、银、铜奖（排名前三），全省职业院校技能大赛二等奖及以上；②获得中国国际“互联网+”大学生创新创业大赛（中国国际大学生创新大赛）国家级金奖（排位前五）、国家级银奖（排位前五）、省级金奖（排位前五）、省级银奖（排位前三）；③获国家一级运动员及以上称号，并参加国家级比赛获得前三名或国际级比赛获得前六名；④获得全国大学生职业规划大赛国家级铜奖及以上、省级银奖及以上。</w:t>
      </w:r>
    </w:p>
    <w:p w14:paraId="1611E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3.退役大学生士兵。具体要求见《新余学院2025年退役大学生士兵专升本免试招生办法》。</w:t>
      </w:r>
    </w:p>
    <w:p w14:paraId="1B94D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五、报名要求</w:t>
      </w:r>
    </w:p>
    <w:p w14:paraId="77033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所有参加专升本的考生（含免试生）均须在规定时间内登录江西省教育考试院网上（网址：</w:t>
      </w:r>
      <w:r>
        <w:rPr>
          <w:rFonts w:hint="eastAsia" w:ascii="仿宋" w:hAnsi="仿宋" w:eastAsia="仿宋" w:cs="仿宋"/>
          <w:i w:val="0"/>
          <w:iCs w:val="0"/>
          <w:caps w:val="0"/>
          <w:spacing w:val="0"/>
          <w:sz w:val="19"/>
          <w:szCs w:val="19"/>
          <w:u w:val="none"/>
          <w:bdr w:val="none" w:color="auto" w:sz="0" w:space="0"/>
          <w:shd w:val="clear" w:fill="FFFFFF"/>
        </w:rPr>
        <w:fldChar w:fldCharType="begin"/>
      </w:r>
      <w:r>
        <w:rPr>
          <w:rFonts w:hint="eastAsia" w:ascii="仿宋" w:hAnsi="仿宋" w:eastAsia="仿宋" w:cs="仿宋"/>
          <w:i w:val="0"/>
          <w:iCs w:val="0"/>
          <w:caps w:val="0"/>
          <w:spacing w:val="0"/>
          <w:sz w:val="19"/>
          <w:szCs w:val="19"/>
          <w:u w:val="none"/>
          <w:bdr w:val="none" w:color="auto" w:sz="0" w:space="0"/>
          <w:shd w:val="clear" w:fill="FFFFFF"/>
        </w:rPr>
        <w:instrText xml:space="preserve"> HYPERLINK "http://www.jxeea.xn--cn)\\\\-gc0eoa8912lhdao16f4wcfa9164dga721tmw3hoki1pc051g35yb.xn--,(),-lw3cc2394cga2fc6ec6rm1fca24noa775aha851fmwat7f7sp74ak74e3tcnx2b0e1ala193l3tcyseo45awrd7tlg9aha85c71az6wp44blzdf86evbi1l7acbaz73ml0q921bvm1cdbad3689jo9xasrb79en87fpi1el1zavda./" </w:instrText>
      </w:r>
      <w:r>
        <w:rPr>
          <w:rFonts w:hint="eastAsia" w:ascii="仿宋" w:hAnsi="仿宋" w:eastAsia="仿宋" w:cs="仿宋"/>
          <w:i w:val="0"/>
          <w:iCs w:val="0"/>
          <w:caps w:val="0"/>
          <w:spacing w:val="0"/>
          <w:sz w:val="19"/>
          <w:szCs w:val="19"/>
          <w:u w:val="none"/>
          <w:bdr w:val="none" w:color="auto" w:sz="0" w:space="0"/>
          <w:shd w:val="clear" w:fill="FFFFFF"/>
        </w:rPr>
        <w:fldChar w:fldCharType="separate"/>
      </w:r>
      <w:r>
        <w:rPr>
          <w:rStyle w:val="5"/>
          <w:rFonts w:hint="eastAsia" w:ascii="仿宋" w:hAnsi="仿宋" w:eastAsia="仿宋" w:cs="仿宋"/>
          <w:i w:val="0"/>
          <w:iCs w:val="0"/>
          <w:caps w:val="0"/>
          <w:color w:val="000000"/>
          <w:spacing w:val="0"/>
          <w:sz w:val="19"/>
          <w:szCs w:val="19"/>
          <w:u w:val="none"/>
          <w:bdr w:val="none" w:color="auto" w:sz="0" w:space="0"/>
          <w:shd w:val="clear" w:fill="FFFFFF"/>
        </w:rPr>
        <w:t>www.jxeea.cn）“专升本报名系统”进行网上报名。按要求上传个人照片并填写个人基本信息、就读（毕业）院校、就读专业（专业名称、代码、专业类），以及是否为获奖学生（含高水平运动员）、脱贫家庭（原建档立卡贫困家庭）学生、退役大学生士兵等相关信息。</w:t>
      </w:r>
      <w:r>
        <w:rPr>
          <w:rFonts w:hint="eastAsia" w:ascii="仿宋" w:hAnsi="仿宋" w:eastAsia="仿宋" w:cs="仿宋"/>
          <w:i w:val="0"/>
          <w:iCs w:val="0"/>
          <w:caps w:val="0"/>
          <w:spacing w:val="0"/>
          <w:sz w:val="19"/>
          <w:szCs w:val="19"/>
          <w:u w:val="none"/>
          <w:bdr w:val="none" w:color="auto" w:sz="0" w:space="0"/>
          <w:shd w:val="clear" w:fill="FFFFFF"/>
        </w:rPr>
        <w:fldChar w:fldCharType="end"/>
      </w:r>
    </w:p>
    <w:p w14:paraId="1ACE4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六、资格审查</w:t>
      </w:r>
    </w:p>
    <w:p w14:paraId="5429C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资格审查贯穿考试录取全过程。</w:t>
      </w:r>
    </w:p>
    <w:p w14:paraId="3CF90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（一）考生的报名资格由考生就读（毕业）院校负责审核。所在院校依据规定的招生对象和报考条件对考生资格及其填报的基本信息和报名照片进行审核。对初审不合格的考生要标注原因，并及时告知考生本人。</w:t>
      </w:r>
    </w:p>
    <w:p w14:paraId="64F6A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本省院校退役大学生士兵的报名资格由就读（毕业）院校初审，外省院校退役大学生士兵的报名资格由省教育厅初审。省教育厅将退役大学生士兵考生信息汇总，报送省退役军人事务厅进行退役士兵身份核定。</w:t>
      </w:r>
    </w:p>
    <w:p w14:paraId="45C5C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（三）获奖学生（含高水平运动员）、脱贫家庭（原建档立卡贫困家庭）学生资格由省教育厅负责审核。</w:t>
      </w:r>
    </w:p>
    <w:p w14:paraId="75AF8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（四）省教育厅负责对高校最终拟录取考生名单进行前置学历资格复查。对不符合录取条件的考生，将取消录取资格。</w:t>
      </w:r>
    </w:p>
    <w:p w14:paraId="1E029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七、考试</w:t>
      </w:r>
    </w:p>
    <w:p w14:paraId="1F488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（一）考试科目。包括公共基础课和专业基础及技能知识课。公共基础课不分学科专业，采用政治+英语+信息技术三门课程的综合卷，分值 300 分。专业基础及技能知识课按专业门类分为 9 类，各设置一门考试科目，各考试科目试卷分值 150 分。考生可根据发布的考试说明备考。</w:t>
      </w:r>
    </w:p>
    <w:p w14:paraId="5D040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（二）考试时间。2025年3月23日。</w:t>
      </w:r>
    </w:p>
    <w:p w14:paraId="73A9B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（三）考试地点。考试地点由各设区市考试机构统一安排在标准化考点。</w:t>
      </w:r>
    </w:p>
    <w:p w14:paraId="14F46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（四）命题和评卷。全省统一组织命题、制卷、评卷。</w:t>
      </w:r>
    </w:p>
    <w:p w14:paraId="775E5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八、志愿填报</w:t>
      </w:r>
    </w:p>
    <w:p w14:paraId="46341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所有通过报名资格审核的考生（含退役大学生士兵），须在规定期间登录江西省教育考试院网（网址：</w:t>
      </w:r>
      <w:r>
        <w:rPr>
          <w:rFonts w:hint="eastAsia" w:ascii="仿宋" w:hAnsi="仿宋" w:eastAsia="仿宋" w:cs="仿宋"/>
          <w:i w:val="0"/>
          <w:iCs w:val="0"/>
          <w:caps w:val="0"/>
          <w:spacing w:val="0"/>
          <w:sz w:val="19"/>
          <w:szCs w:val="19"/>
          <w:u w:val="none"/>
          <w:bdr w:val="none" w:color="auto" w:sz="0" w:space="0"/>
          <w:shd w:val="clear" w:fill="FFFFFF"/>
        </w:rPr>
        <w:fldChar w:fldCharType="begin"/>
      </w:r>
      <w:r>
        <w:rPr>
          <w:rFonts w:hint="eastAsia" w:ascii="仿宋" w:hAnsi="仿宋" w:eastAsia="仿宋" w:cs="仿宋"/>
          <w:i w:val="0"/>
          <w:iCs w:val="0"/>
          <w:caps w:val="0"/>
          <w:spacing w:val="0"/>
          <w:sz w:val="19"/>
          <w:szCs w:val="19"/>
          <w:u w:val="none"/>
          <w:bdr w:val="none" w:color="auto" w:sz="0" w:space="0"/>
          <w:shd w:val="clear" w:fill="FFFFFF"/>
        </w:rPr>
        <w:instrText xml:space="preserve"> HYPERLINK "http://www.jxeea.xn--cn,)\\\\(130-hd3hta3890ria1n739dl4jwheb40d1x6aey0a923e75zb35hbjocncwza6863a/%E4%BA%BA%EF%BC%89%EF%BC%8C%E5%B9%B6%E6%A0%B9%E6%8D%AE%E6%88%91%E6%A0%A1%E4%B8%93%E5%8D%87%E6%9C%AC%E6%8B%9B%E7%94%9F%E7%AE%80%E7%AB%A0%E4%B8%AD%E6%98%8E%E7%A1%AE%E7%9A%84%E6%8B%9B%E7%94%9F%E8%AE%A1%E5%88%92%E3%80%81%E4%B8%93%E4%B8%9A%E5%8F%8A%E6%9C%89%E5%85%B3%E8%A6%81%E6%B1%82%EF%BC%8C%E5%AF%B9%E7%85%A7%E3%80%8A%E6%B1%9F%E8%A5%BF%E7%9C%812024%E5%B9%B4%E6%99%AE%E9%80%9A%E9%AB%98%E6%A0%A1%E4%B8%93%E5%8D%87%E6%9C%AC%E5%AF%B9%E5%BA%94%E4%B8%93%E4%B8%9A%E6%8C%87%E5%AF%BC%E7%9B%AE%E5%BD%95%EF%BC%88%E4%BF%AE%E8%AE%A2%E7%89%88%EF%BC%89%E3%80%8B%E7%BD%91%E4%B8%8A%E5%A1%AB%E6%8A%A5%E5%BF%97%E6%84%BF%EF%BC%8C%E9%80%BE%E6%9C%9F%E6%9C%AA%E5%AE%8C%E6%88%90%E7%BC%B4%E8%B4%B9%E5%92%8C%E5%A1%AB%E6%8A%A5%E5%BF%97%E6%84%BF%E7%9A%84%E8%A7%86%E4%B8%BA%E8%87%AA%E5%8A%A8%E6%94%BE%E5%BC%83%E6%8A%A5%E8%80%83%E8%B5%84%E6%A0%BC%E3%80%82" </w:instrText>
      </w:r>
      <w:r>
        <w:rPr>
          <w:rFonts w:hint="eastAsia" w:ascii="仿宋" w:hAnsi="仿宋" w:eastAsia="仿宋" w:cs="仿宋"/>
          <w:i w:val="0"/>
          <w:iCs w:val="0"/>
          <w:caps w:val="0"/>
          <w:spacing w:val="0"/>
          <w:sz w:val="19"/>
          <w:szCs w:val="19"/>
          <w:u w:val="none"/>
          <w:bdr w:val="none" w:color="auto" w:sz="0" w:space="0"/>
          <w:shd w:val="clear" w:fill="FFFFFF"/>
        </w:rPr>
        <w:fldChar w:fldCharType="separate"/>
      </w:r>
      <w:r>
        <w:rPr>
          <w:rStyle w:val="5"/>
          <w:rFonts w:hint="eastAsia" w:ascii="仿宋" w:hAnsi="仿宋" w:eastAsia="仿宋" w:cs="仿宋"/>
          <w:i w:val="0"/>
          <w:iCs w:val="0"/>
          <w:caps w:val="0"/>
          <w:color w:val="454545"/>
          <w:spacing w:val="0"/>
          <w:sz w:val="19"/>
          <w:szCs w:val="19"/>
          <w:u w:val="none"/>
          <w:bdr w:val="none" w:color="auto" w:sz="0" w:space="0"/>
          <w:shd w:val="clear" w:fill="FFFFFF"/>
        </w:rPr>
        <w:t>www.jxeea.cn，下同）“专升本管理系统”完成网上缴费，并根据我校专升本招生简章中明确的招生计划、专业及有关要求，对照《江西省2025年普通高等学校专升本考试对应专业（类）指导目录》网上填报志愿，逾期未完成缴费和填报志愿的视为自动放弃报考资格。</w:t>
      </w:r>
      <w:r>
        <w:rPr>
          <w:rFonts w:hint="eastAsia" w:ascii="仿宋" w:hAnsi="仿宋" w:eastAsia="仿宋" w:cs="仿宋"/>
          <w:i w:val="0"/>
          <w:iCs w:val="0"/>
          <w:caps w:val="0"/>
          <w:spacing w:val="0"/>
          <w:sz w:val="19"/>
          <w:szCs w:val="19"/>
          <w:u w:val="none"/>
          <w:bdr w:val="none" w:color="auto" w:sz="0" w:space="0"/>
          <w:shd w:val="clear" w:fill="FFFFFF"/>
        </w:rPr>
        <w:fldChar w:fldCharType="end"/>
      </w:r>
    </w:p>
    <w:p w14:paraId="515BC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九、录取</w:t>
      </w:r>
    </w:p>
    <w:p w14:paraId="5601B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（一）录取工作贯彻公开、公平、公正原则，严格按照“分数优先、遵循志愿”的原则执行录取。学校执行省教育考试院投档的有关规定。</w:t>
      </w:r>
    </w:p>
    <w:p w14:paraId="12666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按考试9大类分别划定全省最低控制分数线。按考生公共基础课和专业基础及技能知识课的总成绩从高到低排序投档，总分相同时专业基础及技能知识课优先，其次按政治、英语、信息技术课程顺序，单科分数高低排序录取。</w:t>
      </w:r>
    </w:p>
    <w:p w14:paraId="79971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（三）未被录取的考生，在规定的时间内按照省教育考试院公布的征集志愿计划，网上进行征集志愿填报，征集志愿填报专业必须在《专业指导目录》规定的对应专业范围内进行。</w:t>
      </w:r>
    </w:p>
    <w:p w14:paraId="1778F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（四）“免试计划”和“专项计划”未完成的空余计划，学校在普通计划投档前调整至“普通计划”。</w:t>
      </w:r>
    </w:p>
    <w:p w14:paraId="68DCA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（五）考生志愿填报是一种电子契约，凡按志愿投档且符合录取条件的考生，不得要求高校退档，高校也不得以考生自愿放弃为由退录。</w:t>
      </w:r>
    </w:p>
    <w:p w14:paraId="1E68E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六）录取通知书由学校自行印制。学校根据核准备案的录取新生名册以及省教育考试院打印的新生录取花名册发放录取通知书，由校长签发，加盖学校校章，连同入学报到须知、资助政策办法等相关材料一并直接寄送被录取考生。录取通知书寄递工作按照《教育部办公厅 国家邮政局办公室关于进一步做好2020年高校录取通知书寄递工作的通知》（教学厅函〔2020〕23号）执行。</w:t>
      </w:r>
    </w:p>
    <w:p w14:paraId="416E6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十、学籍管理</w:t>
      </w:r>
    </w:p>
    <w:p w14:paraId="11309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符合专升本录取条件的学生，由我校报省级教育行政部门审核后，在学籍学历信息管理平台注册学籍。专升本学生毕业时，毕业证书上标注“在本校XX专业专科起点本科学习”，学习时间按进入本科阶段学习和办法毕业证实际时间填写。符合学位授予条件者授予学士学位，毕业后自主择业。</w:t>
      </w:r>
    </w:p>
    <w:p w14:paraId="49FDB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十一、其他</w:t>
      </w:r>
    </w:p>
    <w:p w14:paraId="784AD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录取新生须持身份证原件、“录取通知书”和普通专科（高职）毕业证书（原件）按学校有关要求和规定的日期到校办理入学手续。因故不能按期入学者，应向学校请假。未请假或者请假逾期（超过两周），除因不可抗力等正当事由以外，视为放弃入学资格。</w:t>
      </w:r>
    </w:p>
    <w:p w14:paraId="372D5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（二）新生入学后，我校在规定时间内进行入学资格复查。复查不合格的，根据《普通高等学校招生违规行为处理暂行办法》有关规定做出相应处理，并报省教育考试院备案。</w:t>
      </w:r>
    </w:p>
    <w:p w14:paraId="05EB9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（三）考生档案由考生所在学校密封后，寄送至新余学院招生与就业工作处（或各联合培养院校）。</w:t>
      </w:r>
    </w:p>
    <w:p w14:paraId="58887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十二、信息查询及咨询方式</w:t>
      </w:r>
    </w:p>
    <w:p w14:paraId="66703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（一）专升本考试招生信息查询：</w:t>
      </w:r>
    </w:p>
    <w:p w14:paraId="7C49B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http://zb.xyc.edu.cn/（新余学院招生网）</w:t>
      </w:r>
    </w:p>
    <w:p w14:paraId="3C402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（二）咨询电话：</w:t>
      </w:r>
    </w:p>
    <w:p w14:paraId="475BB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0790-6666055 6666058（招就处）联系人：陈老师 李老师</w:t>
      </w:r>
    </w:p>
    <w:p w14:paraId="274B3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0790-6666037（教务处） 联系人：林老师</w:t>
      </w:r>
    </w:p>
    <w:p w14:paraId="4FDA9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（三）监督电话：</w:t>
      </w:r>
    </w:p>
    <w:p w14:paraId="461FA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0790-6666018（校纪委）</w:t>
      </w:r>
    </w:p>
    <w:p w14:paraId="08C65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电子邮箱：</w:t>
      </w:r>
      <w:r>
        <w:rPr>
          <w:rFonts w:hint="eastAsia" w:ascii="仿宋" w:hAnsi="仿宋" w:eastAsia="仿宋" w:cs="仿宋"/>
          <w:i w:val="0"/>
          <w:iCs w:val="0"/>
          <w:caps w:val="0"/>
          <w:spacing w:val="0"/>
          <w:sz w:val="19"/>
          <w:szCs w:val="19"/>
          <w:u w:val="none"/>
          <w:bdr w:val="none" w:color="auto" w:sz="0" w:space="0"/>
          <w:shd w:val="clear" w:fill="FFFFFF"/>
        </w:rPr>
        <w:fldChar w:fldCharType="begin"/>
      </w:r>
      <w:r>
        <w:rPr>
          <w:rFonts w:hint="eastAsia" w:ascii="仿宋" w:hAnsi="仿宋" w:eastAsia="仿宋" w:cs="仿宋"/>
          <w:i w:val="0"/>
          <w:iCs w:val="0"/>
          <w:caps w:val="0"/>
          <w:spacing w:val="0"/>
          <w:sz w:val="19"/>
          <w:szCs w:val="19"/>
          <w:u w:val="none"/>
          <w:bdr w:val="none" w:color="auto" w:sz="0" w:space="0"/>
          <w:shd w:val="clear" w:fill="FFFFFF"/>
        </w:rPr>
        <w:instrText xml:space="preserve"> HYPERLINK "mailto:xyxyjbx@163.com" </w:instrText>
      </w:r>
      <w:r>
        <w:rPr>
          <w:rFonts w:hint="eastAsia" w:ascii="仿宋" w:hAnsi="仿宋" w:eastAsia="仿宋" w:cs="仿宋"/>
          <w:i w:val="0"/>
          <w:iCs w:val="0"/>
          <w:caps w:val="0"/>
          <w:spacing w:val="0"/>
          <w:sz w:val="19"/>
          <w:szCs w:val="19"/>
          <w:u w:val="none"/>
          <w:bdr w:val="none" w:color="auto" w:sz="0" w:space="0"/>
          <w:shd w:val="clear" w:fill="FFFFFF"/>
        </w:rPr>
        <w:fldChar w:fldCharType="separate"/>
      </w:r>
      <w:r>
        <w:rPr>
          <w:rStyle w:val="5"/>
          <w:rFonts w:hint="eastAsia" w:ascii="仿宋" w:hAnsi="仿宋" w:eastAsia="仿宋" w:cs="仿宋"/>
          <w:i w:val="0"/>
          <w:iCs w:val="0"/>
          <w:caps w:val="0"/>
          <w:color w:val="000000"/>
          <w:spacing w:val="0"/>
          <w:sz w:val="19"/>
          <w:szCs w:val="19"/>
          <w:u w:val="none"/>
          <w:bdr w:val="none" w:color="auto" w:sz="0" w:space="0"/>
          <w:shd w:val="clear" w:fill="FFFFFF"/>
        </w:rPr>
        <w:t>xyxyjbx@163.com</w:t>
      </w:r>
      <w:r>
        <w:rPr>
          <w:rFonts w:hint="eastAsia" w:ascii="仿宋" w:hAnsi="仿宋" w:eastAsia="仿宋" w:cs="仿宋"/>
          <w:i w:val="0"/>
          <w:iCs w:val="0"/>
          <w:caps w:val="0"/>
          <w:spacing w:val="0"/>
          <w:sz w:val="19"/>
          <w:szCs w:val="19"/>
          <w:u w:val="none"/>
          <w:bdr w:val="none" w:color="auto" w:sz="0" w:space="0"/>
          <w:shd w:val="clear" w:fill="FFFFFF"/>
        </w:rPr>
        <w:fldChar w:fldCharType="end"/>
      </w:r>
    </w:p>
    <w:p w14:paraId="09E04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十三、本招生简章由新余学院招生与就业工作处负责解释。</w:t>
      </w:r>
    </w:p>
    <w:p w14:paraId="36200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p>
    <w:p w14:paraId="291E1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p>
    <w:p w14:paraId="50B29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                                                            新余学院</w:t>
      </w:r>
    </w:p>
    <w:p w14:paraId="7F91E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                                                              2025年2月15日</w:t>
      </w:r>
    </w:p>
    <w:p w14:paraId="1E4264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6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2025-02-17T02:49:56Z</dcterms:created>
  <dc:creator>DELL</dc:creator>
  <cp:lastModifiedBy>长乐</cp:lastModifiedBy>
  <dcterms:modified xsi:type="dcterms:W3CDTF">2025-02-17T02:50:00Z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812B83E4952D43D991FD295A4DFBED46_12</vt:lpwstr>
  </property>
</Properties>
</file>