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8306"/>
      </w:tblGrid>
      <w:tr w14:paraId="51F8A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shd w:val="clear" w:color="auto" w:fill="FFFFFF"/>
            <w:vAlign w:val="center"/>
          </w:tcPr>
          <w:p w14:paraId="04742D7A">
            <w:pPr>
              <w:keepNext w:val="0"/>
              <w:keepLines w:val="0"/>
              <w:widowControl/>
              <w:suppressLineNumbers w:val="0"/>
              <w:spacing w:before="0" w:beforeAutospacing="0" w:after="0" w:afterAutospacing="0"/>
              <w:ind w:left="0" w:right="0"/>
              <w:jc w:val="center"/>
              <w:rPr>
                <w:rFonts w:hint="eastAsia" w:ascii="宋体" w:hAnsi="宋体" w:eastAsia="宋体" w:cs="宋体"/>
                <w:b/>
                <w:bCs/>
                <w:caps w:val="0"/>
                <w:spacing w:val="0"/>
                <w:sz w:val="24"/>
                <w:szCs w:val="24"/>
              </w:rPr>
            </w:pPr>
            <w:r>
              <w:rPr>
                <w:rFonts w:hint="eastAsia" w:ascii="宋体" w:hAnsi="宋体" w:eastAsia="宋体" w:cs="宋体"/>
                <w:b/>
                <w:bCs/>
                <w:caps w:val="0"/>
                <w:spacing w:val="0"/>
                <w:kern w:val="0"/>
                <w:sz w:val="24"/>
                <w:szCs w:val="24"/>
                <w:bdr w:val="none" w:color="auto" w:sz="0" w:space="0"/>
                <w:lang w:val="en-US" w:eastAsia="zh-CN" w:bidi="ar"/>
              </w:rPr>
              <w:t>南昌工程学院2025年专升本考试退役大学生士兵免试考查录取办法</w:t>
            </w:r>
          </w:p>
        </w:tc>
      </w:tr>
      <w:tr w14:paraId="751307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0" w:type="auto"/>
            <w:shd w:val="clear" w:color="auto" w:fill="FFFFFF"/>
            <w:vAlign w:val="center"/>
          </w:tcPr>
          <w:p w14:paraId="1DB17740">
            <w:pPr>
              <w:keepNext w:val="0"/>
              <w:keepLines w:val="0"/>
              <w:widowControl/>
              <w:suppressLineNumbers w:val="0"/>
              <w:spacing w:before="0" w:beforeAutospacing="0" w:after="0" w:afterAutospacing="0"/>
              <w:ind w:left="0" w:right="0"/>
              <w:jc w:val="center"/>
              <w:rPr>
                <w:rFonts w:hint="eastAsia" w:ascii="宋体" w:hAnsi="宋体" w:eastAsia="宋体" w:cs="宋体"/>
                <w:caps w:val="0"/>
                <w:spacing w:val="0"/>
                <w:sz w:val="18"/>
                <w:szCs w:val="18"/>
              </w:rPr>
            </w:pPr>
            <w:r>
              <w:rPr>
                <w:rFonts w:hint="eastAsia" w:ascii="宋体" w:hAnsi="宋体" w:eastAsia="宋体" w:cs="宋体"/>
                <w:caps w:val="0"/>
                <w:spacing w:val="0"/>
                <w:kern w:val="0"/>
                <w:sz w:val="18"/>
                <w:szCs w:val="18"/>
                <w:bdr w:val="none" w:color="auto" w:sz="0" w:space="0"/>
                <w:lang w:val="en-US" w:eastAsia="zh-CN" w:bidi="ar"/>
              </w:rPr>
              <w:t>2025-01-25 22:05  </w:t>
            </w:r>
          </w:p>
        </w:tc>
      </w:tr>
      <w:tr w14:paraId="58943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shd w:val="clear" w:color="auto" w:fill="FFFFFF"/>
            <w:vAlign w:val="center"/>
          </w:tcPr>
          <w:p w14:paraId="0A08ADE6">
            <w:pPr>
              <w:jc w:val="right"/>
              <w:rPr>
                <w:rFonts w:hint="eastAsia" w:ascii="宋体" w:hAnsi="宋体" w:eastAsia="宋体" w:cs="宋体"/>
                <w:caps w:val="0"/>
                <w:spacing w:val="0"/>
                <w:sz w:val="18"/>
                <w:szCs w:val="18"/>
              </w:rPr>
            </w:pPr>
          </w:p>
        </w:tc>
      </w:tr>
      <w:tr w14:paraId="355AF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shd w:val="clear" w:color="auto" w:fill="FFFFFF"/>
            <w:vAlign w:val="center"/>
          </w:tcPr>
          <w:p w14:paraId="2787C39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firstLine="430"/>
            </w:pPr>
            <w:r>
              <w:rPr>
                <w:rFonts w:ascii="仿宋_GB2312" w:hAnsi="仿宋_GB2312" w:eastAsia="仿宋_GB2312" w:cs="仿宋_GB2312"/>
                <w:caps w:val="0"/>
                <w:spacing w:val="0"/>
                <w:sz w:val="21"/>
                <w:szCs w:val="21"/>
                <w:bdr w:val="none" w:color="auto" w:sz="0" w:space="0"/>
              </w:rPr>
              <w:t>根据《关于做好江西省</w:t>
            </w:r>
            <w:r>
              <w:rPr>
                <w:rFonts w:hint="default" w:ascii="仿宋_GB2312" w:hAnsi="仿宋_GB2312" w:eastAsia="仿宋_GB2312" w:cs="仿宋_GB2312"/>
                <w:caps w:val="0"/>
                <w:spacing w:val="0"/>
                <w:sz w:val="21"/>
                <w:szCs w:val="21"/>
                <w:bdr w:val="none" w:color="auto" w:sz="0" w:space="0"/>
              </w:rPr>
              <w:t>2025年普通高校专升本考试招生报名工作的通知》（赣考院普〔2024〕28号）文件要求，为保证南昌工程学院专升本退役大学生士兵专项计划免试录取工作的顺利进行，结合我校的实际情况，特制定2025年专升本考试退役大学生士兵免试录取办法。</w:t>
            </w:r>
          </w:p>
          <w:p w14:paraId="466EEA4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firstLine="430"/>
            </w:pPr>
            <w:r>
              <w:rPr>
                <w:rFonts w:ascii="黑体" w:hAnsi="宋体" w:eastAsia="黑体" w:cs="黑体"/>
                <w:caps w:val="0"/>
                <w:spacing w:val="0"/>
                <w:sz w:val="21"/>
                <w:szCs w:val="21"/>
                <w:bdr w:val="none" w:color="auto" w:sz="0" w:space="0"/>
              </w:rPr>
              <w:t>一、</w:t>
            </w:r>
            <w:r>
              <w:rPr>
                <w:rFonts w:hint="eastAsia" w:ascii="黑体" w:hAnsi="宋体" w:eastAsia="黑体" w:cs="黑体"/>
                <w:caps w:val="0"/>
                <w:spacing w:val="0"/>
                <w:sz w:val="21"/>
                <w:szCs w:val="21"/>
                <w:bdr w:val="none" w:color="auto" w:sz="0" w:space="0"/>
              </w:rPr>
              <w:t>招生专业、计划及培养方式</w:t>
            </w:r>
          </w:p>
          <w:tbl>
            <w:tblPr>
              <w:tblW w:w="5640"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621"/>
              <w:gridCol w:w="571"/>
              <w:gridCol w:w="541"/>
              <w:gridCol w:w="841"/>
              <w:gridCol w:w="3066"/>
            </w:tblGrid>
            <w:tr w14:paraId="31F6FF6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0" w:type="dxa"/>
                  <w:left w:w="0" w:type="dxa"/>
                  <w:bottom w:w="0" w:type="dxa"/>
                  <w:right w:w="0" w:type="dxa"/>
                </w:tblCellMar>
              </w:tblPrEx>
              <w:trPr>
                <w:trHeight w:val="980" w:hRule="atLeast"/>
                <w:jc w:val="center"/>
              </w:trPr>
              <w:tc>
                <w:tcPr>
                  <w:tcW w:w="620" w:type="dxa"/>
                  <w:tcBorders>
                    <w:top w:val="single" w:color="000000" w:sz="4" w:space="0"/>
                    <w:left w:val="single" w:color="000000" w:sz="4" w:space="0"/>
                    <w:bottom w:val="single" w:color="000000" w:sz="4" w:space="0"/>
                    <w:right w:val="single" w:color="000000" w:sz="4" w:space="0"/>
                  </w:tcBorders>
                  <w:shd w:val="clear"/>
                  <w:tcMar>
                    <w:left w:w="70" w:type="dxa"/>
                    <w:right w:w="70" w:type="dxa"/>
                  </w:tcMar>
                  <w:vAlign w:val="center"/>
                </w:tcPr>
                <w:p w14:paraId="0F69031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Style w:val="5"/>
                      <w:b w:val="0"/>
                      <w:bCs w:val="0"/>
                      <w:i w:val="0"/>
                      <w:iCs w:val="0"/>
                      <w:bdr w:val="none" w:color="auto" w:sz="0" w:space="0"/>
                    </w:rPr>
                    <w:t>专业类别</w:t>
                  </w:r>
                </w:p>
              </w:tc>
              <w:tc>
                <w:tcPr>
                  <w:tcW w:w="570" w:type="dxa"/>
                  <w:tcBorders>
                    <w:top w:val="single" w:color="000000" w:sz="4" w:space="0"/>
                    <w:left w:val="single" w:color="000000" w:sz="4" w:space="0"/>
                    <w:bottom w:val="single" w:color="000000" w:sz="4" w:space="0"/>
                    <w:right w:val="single" w:color="000000" w:sz="4" w:space="0"/>
                  </w:tcBorders>
                  <w:shd w:val="clear"/>
                  <w:tcMar>
                    <w:left w:w="70" w:type="dxa"/>
                    <w:right w:w="70" w:type="dxa"/>
                  </w:tcMar>
                  <w:vAlign w:val="center"/>
                </w:tcPr>
                <w:p w14:paraId="554C407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Style w:val="5"/>
                      <w:b w:val="0"/>
                      <w:bCs w:val="0"/>
                      <w:i w:val="0"/>
                      <w:iCs w:val="0"/>
                      <w:bdr w:val="none" w:color="auto" w:sz="0" w:space="0"/>
                    </w:rPr>
                    <w:t>招生专业</w:t>
                  </w:r>
                </w:p>
              </w:tc>
              <w:tc>
                <w:tcPr>
                  <w:tcW w:w="540" w:type="dxa"/>
                  <w:tcBorders>
                    <w:top w:val="single" w:color="000000" w:sz="4" w:space="0"/>
                    <w:left w:val="single" w:color="000000" w:sz="4" w:space="0"/>
                    <w:bottom w:val="single" w:color="000000" w:sz="4" w:space="0"/>
                    <w:right w:val="single" w:color="000000" w:sz="4" w:space="0"/>
                  </w:tcBorders>
                  <w:shd w:val="clear"/>
                  <w:tcMar>
                    <w:left w:w="70" w:type="dxa"/>
                    <w:right w:w="70" w:type="dxa"/>
                  </w:tcMar>
                  <w:vAlign w:val="center"/>
                </w:tcPr>
                <w:p w14:paraId="0ABF0E2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Style w:val="5"/>
                      <w:b w:val="0"/>
                      <w:bCs w:val="0"/>
                      <w:i w:val="0"/>
                      <w:iCs w:val="0"/>
                      <w:bdr w:val="none" w:color="auto" w:sz="0" w:space="0"/>
                    </w:rPr>
                    <w:t>退役大学生士兵计划数</w:t>
                  </w:r>
                </w:p>
              </w:tc>
              <w:tc>
                <w:tcPr>
                  <w:tcW w:w="840" w:type="dxa"/>
                  <w:tcBorders>
                    <w:top w:val="single" w:color="000000" w:sz="4" w:space="0"/>
                    <w:left w:val="single" w:color="000000" w:sz="4" w:space="0"/>
                    <w:bottom w:val="single" w:color="000000" w:sz="4" w:space="0"/>
                    <w:right w:val="single" w:color="000000" w:sz="4" w:space="0"/>
                  </w:tcBorders>
                  <w:shd w:val="clear"/>
                  <w:tcMar>
                    <w:left w:w="70" w:type="dxa"/>
                    <w:right w:w="70" w:type="dxa"/>
                  </w:tcMar>
                  <w:vAlign w:val="center"/>
                </w:tcPr>
                <w:p w14:paraId="5FE8075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Style w:val="5"/>
                      <w:b w:val="0"/>
                      <w:bCs w:val="0"/>
                      <w:i w:val="0"/>
                      <w:iCs w:val="0"/>
                      <w:bdr w:val="none" w:color="auto" w:sz="0" w:space="0"/>
                    </w:rPr>
                    <w:t>培养方式</w:t>
                  </w:r>
                </w:p>
              </w:tc>
              <w:tc>
                <w:tcPr>
                  <w:tcW w:w="3060" w:type="dxa"/>
                  <w:tcBorders>
                    <w:top w:val="single" w:color="000000" w:sz="4" w:space="0"/>
                    <w:left w:val="single" w:color="000000" w:sz="4" w:space="0"/>
                    <w:bottom w:val="single" w:color="000000" w:sz="4" w:space="0"/>
                    <w:right w:val="single" w:color="000000" w:sz="4" w:space="0"/>
                  </w:tcBorders>
                  <w:shd w:val="clear"/>
                  <w:tcMar>
                    <w:left w:w="70" w:type="dxa"/>
                    <w:right w:w="70" w:type="dxa"/>
                  </w:tcMar>
                  <w:vAlign w:val="center"/>
                </w:tcPr>
                <w:p w14:paraId="06DE6A3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Style w:val="5"/>
                      <w:b w:val="0"/>
                      <w:bCs w:val="0"/>
                      <w:i w:val="0"/>
                      <w:iCs w:val="0"/>
                      <w:bdr w:val="none" w:color="auto" w:sz="0" w:space="0"/>
                    </w:rPr>
                    <w:t>拟招专科专业及代码</w:t>
                  </w:r>
                </w:p>
              </w:tc>
            </w:tr>
            <w:tr w14:paraId="1DB8B88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0" w:type="dxa"/>
                  <w:left w:w="0" w:type="dxa"/>
                  <w:bottom w:w="0" w:type="dxa"/>
                  <w:right w:w="0" w:type="dxa"/>
                </w:tblCellMar>
              </w:tblPrEx>
              <w:trPr>
                <w:trHeight w:val="1980" w:hRule="atLeast"/>
                <w:jc w:val="center"/>
              </w:trPr>
              <w:tc>
                <w:tcPr>
                  <w:tcW w:w="620" w:type="dxa"/>
                  <w:tcBorders>
                    <w:top w:val="nil"/>
                    <w:left w:val="single" w:color="000000" w:sz="4" w:space="0"/>
                    <w:bottom w:val="single" w:color="auto" w:sz="4" w:space="0"/>
                    <w:right w:val="single" w:color="000000" w:sz="4" w:space="0"/>
                  </w:tcBorders>
                  <w:shd w:val="clear"/>
                  <w:tcMar>
                    <w:left w:w="70" w:type="dxa"/>
                    <w:right w:w="70" w:type="dxa"/>
                  </w:tcMar>
                  <w:vAlign w:val="center"/>
                </w:tcPr>
                <w:p w14:paraId="40AE5D8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sz w:val="14"/>
                      <w:szCs w:val="14"/>
                      <w:bdr w:val="none" w:color="auto" w:sz="0" w:space="0"/>
                    </w:rPr>
                    <w:t>0811水利类</w:t>
                  </w:r>
                </w:p>
              </w:tc>
              <w:tc>
                <w:tcPr>
                  <w:tcW w:w="570" w:type="dxa"/>
                  <w:tcBorders>
                    <w:top w:val="nil"/>
                    <w:left w:val="single" w:color="000000" w:sz="4" w:space="0"/>
                    <w:bottom w:val="single" w:color="000000" w:sz="4" w:space="0"/>
                    <w:right w:val="single" w:color="000000" w:sz="4" w:space="0"/>
                  </w:tcBorders>
                  <w:shd w:val="clear"/>
                  <w:tcMar>
                    <w:left w:w="70" w:type="dxa"/>
                    <w:right w:w="70" w:type="dxa"/>
                  </w:tcMar>
                  <w:vAlign w:val="center"/>
                </w:tcPr>
                <w:p w14:paraId="18B81F3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spacing w:val="0"/>
                      <w:sz w:val="14"/>
                      <w:szCs w:val="14"/>
                      <w:bdr w:val="none" w:color="auto" w:sz="0" w:space="0"/>
                    </w:rPr>
                    <w:t>水利水电工程</w:t>
                  </w:r>
                </w:p>
              </w:tc>
              <w:tc>
                <w:tcPr>
                  <w:tcW w:w="540" w:type="dxa"/>
                  <w:tcBorders>
                    <w:top w:val="nil"/>
                    <w:left w:val="single" w:color="000000" w:sz="4" w:space="0"/>
                    <w:bottom w:val="single" w:color="000000" w:sz="4" w:space="0"/>
                    <w:right w:val="single" w:color="000000" w:sz="4" w:space="0"/>
                  </w:tcBorders>
                  <w:shd w:val="clear"/>
                  <w:tcMar>
                    <w:left w:w="70" w:type="dxa"/>
                    <w:right w:w="70" w:type="dxa"/>
                  </w:tcMar>
                  <w:vAlign w:val="center"/>
                </w:tcPr>
                <w:p w14:paraId="060AA84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sz w:val="16"/>
                      <w:szCs w:val="16"/>
                      <w:bdr w:val="none" w:color="auto" w:sz="0" w:space="0"/>
                    </w:rPr>
                    <w:t>19</w:t>
                  </w:r>
                </w:p>
              </w:tc>
              <w:tc>
                <w:tcPr>
                  <w:tcW w:w="840" w:type="dxa"/>
                  <w:tcBorders>
                    <w:top w:val="nil"/>
                    <w:left w:val="single" w:color="000000" w:sz="4" w:space="0"/>
                    <w:bottom w:val="single" w:color="000000" w:sz="4" w:space="0"/>
                    <w:right w:val="single" w:color="000000" w:sz="4" w:space="0"/>
                  </w:tcBorders>
                  <w:shd w:val="clear"/>
                  <w:tcMar>
                    <w:left w:w="70" w:type="dxa"/>
                    <w:right w:w="70" w:type="dxa"/>
                  </w:tcMar>
                  <w:vAlign w:val="center"/>
                </w:tcPr>
                <w:p w14:paraId="5CE7105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spacing w:val="0"/>
                      <w:sz w:val="14"/>
                      <w:szCs w:val="14"/>
                      <w:bdr w:val="none" w:color="auto" w:sz="0" w:space="0"/>
                    </w:rPr>
                    <w:t>与江西水利职业学院联合培养</w:t>
                  </w:r>
                </w:p>
              </w:tc>
              <w:tc>
                <w:tcPr>
                  <w:tcW w:w="3060" w:type="dxa"/>
                  <w:tcBorders>
                    <w:top w:val="nil"/>
                    <w:left w:val="single" w:color="000000" w:sz="4" w:space="0"/>
                    <w:bottom w:val="single" w:color="000000" w:sz="4" w:space="0"/>
                    <w:right w:val="single" w:color="000000" w:sz="4" w:space="0"/>
                  </w:tcBorders>
                  <w:shd w:val="clear"/>
                  <w:tcMar>
                    <w:left w:w="70" w:type="dxa"/>
                    <w:right w:w="70" w:type="dxa"/>
                  </w:tcMar>
                  <w:vAlign w:val="center"/>
                </w:tcPr>
                <w:p w14:paraId="67E4163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sz w:val="14"/>
                      <w:szCs w:val="14"/>
                      <w:bdr w:val="none" w:color="auto" w:sz="0" w:space="0"/>
                    </w:rPr>
                    <w:t>44土木建筑大类、45水利大类、410202园林技术、500101铁道工程技术、500102高速铁路施工与维护 、500103铁道桥梁隧道工程技术、500201道路与桥梁工程技术、500204道路工程检测技术专业、500206道路养护与管理、500302港口与航道工程技术、500501管道工程技术、500601城市轨道交通工程技术</w:t>
                  </w:r>
                </w:p>
              </w:tc>
            </w:tr>
            <w:tr w14:paraId="7263125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300" w:hRule="atLeast"/>
                <w:jc w:val="center"/>
              </w:trPr>
              <w:tc>
                <w:tcPr>
                  <w:tcW w:w="620" w:type="dxa"/>
                  <w:tcBorders>
                    <w:top w:val="nil"/>
                    <w:left w:val="single" w:color="000000" w:sz="4" w:space="0"/>
                    <w:bottom w:val="single" w:color="auto" w:sz="4" w:space="0"/>
                    <w:right w:val="single" w:color="000000" w:sz="4" w:space="0"/>
                  </w:tcBorders>
                  <w:shd w:val="clear"/>
                  <w:tcMar>
                    <w:left w:w="70" w:type="dxa"/>
                    <w:right w:w="70" w:type="dxa"/>
                  </w:tcMar>
                  <w:vAlign w:val="center"/>
                </w:tcPr>
                <w:p w14:paraId="2DF24A6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sz w:val="14"/>
                      <w:szCs w:val="14"/>
                      <w:bdr w:val="none" w:color="auto" w:sz="0" w:space="0"/>
                    </w:rPr>
                    <w:t>0902自然保护与环境生态类</w:t>
                  </w:r>
                </w:p>
              </w:tc>
              <w:tc>
                <w:tcPr>
                  <w:tcW w:w="570" w:type="dxa"/>
                  <w:tcBorders>
                    <w:top w:val="nil"/>
                    <w:left w:val="single" w:color="000000" w:sz="4" w:space="0"/>
                    <w:bottom w:val="single" w:color="000000" w:sz="4" w:space="0"/>
                    <w:right w:val="single" w:color="000000" w:sz="4" w:space="0"/>
                  </w:tcBorders>
                  <w:shd w:val="clear"/>
                  <w:tcMar>
                    <w:left w:w="70" w:type="dxa"/>
                    <w:right w:w="70" w:type="dxa"/>
                  </w:tcMar>
                  <w:vAlign w:val="center"/>
                </w:tcPr>
                <w:p w14:paraId="0FE2F4D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spacing w:val="0"/>
                      <w:sz w:val="14"/>
                      <w:szCs w:val="14"/>
                      <w:bdr w:val="none" w:color="auto" w:sz="0" w:space="0"/>
                    </w:rPr>
                    <w:t>水土保持与荒漠化防治</w:t>
                  </w:r>
                </w:p>
              </w:tc>
              <w:tc>
                <w:tcPr>
                  <w:tcW w:w="540" w:type="dxa"/>
                  <w:tcBorders>
                    <w:top w:val="nil"/>
                    <w:left w:val="single" w:color="000000" w:sz="4" w:space="0"/>
                    <w:bottom w:val="single" w:color="000000" w:sz="4" w:space="0"/>
                    <w:right w:val="single" w:color="000000" w:sz="4" w:space="0"/>
                  </w:tcBorders>
                  <w:shd w:val="clear"/>
                  <w:tcMar>
                    <w:left w:w="70" w:type="dxa"/>
                    <w:right w:w="70" w:type="dxa"/>
                  </w:tcMar>
                  <w:vAlign w:val="center"/>
                </w:tcPr>
                <w:p w14:paraId="141201E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sz w:val="16"/>
                      <w:szCs w:val="16"/>
                      <w:bdr w:val="none" w:color="auto" w:sz="0" w:space="0"/>
                    </w:rPr>
                    <w:t>10</w:t>
                  </w:r>
                </w:p>
              </w:tc>
              <w:tc>
                <w:tcPr>
                  <w:tcW w:w="840" w:type="dxa"/>
                  <w:tcBorders>
                    <w:top w:val="nil"/>
                    <w:left w:val="single" w:color="000000" w:sz="4" w:space="0"/>
                    <w:bottom w:val="single" w:color="000000" w:sz="4" w:space="0"/>
                    <w:right w:val="single" w:color="000000" w:sz="4" w:space="0"/>
                  </w:tcBorders>
                  <w:shd w:val="clear"/>
                  <w:tcMar>
                    <w:left w:w="70" w:type="dxa"/>
                    <w:right w:w="70" w:type="dxa"/>
                  </w:tcMar>
                  <w:vAlign w:val="center"/>
                </w:tcPr>
                <w:p w14:paraId="3EDA7DC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spacing w:val="0"/>
                      <w:sz w:val="14"/>
                      <w:szCs w:val="14"/>
                      <w:bdr w:val="none" w:color="auto" w:sz="0" w:space="0"/>
                    </w:rPr>
                    <w:t>与江西环境工程职业学院联合培养</w:t>
                  </w:r>
                </w:p>
              </w:tc>
              <w:tc>
                <w:tcPr>
                  <w:tcW w:w="3060" w:type="dxa"/>
                  <w:tcBorders>
                    <w:top w:val="nil"/>
                    <w:left w:val="single" w:color="000000" w:sz="4" w:space="0"/>
                    <w:bottom w:val="single" w:color="000000" w:sz="4" w:space="0"/>
                    <w:right w:val="single" w:color="000000" w:sz="4" w:space="0"/>
                  </w:tcBorders>
                  <w:shd w:val="clear"/>
                  <w:tcMar>
                    <w:left w:w="70" w:type="dxa"/>
                    <w:right w:w="70" w:type="dxa"/>
                  </w:tcMar>
                  <w:vAlign w:val="center"/>
                </w:tcPr>
                <w:p w14:paraId="52A7E17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sz w:val="14"/>
                      <w:szCs w:val="14"/>
                      <w:bdr w:val="none" w:color="auto" w:sz="0" w:space="0"/>
                    </w:rPr>
                    <w:t>4101农业类、4102林业类、4208环境保护类、4504 水土保持与水环境类</w:t>
                  </w:r>
                </w:p>
              </w:tc>
            </w:tr>
            <w:tr w14:paraId="4C9CFC8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0" w:type="dxa"/>
                  <w:left w:w="0" w:type="dxa"/>
                  <w:bottom w:w="0" w:type="dxa"/>
                  <w:right w:w="0" w:type="dxa"/>
                </w:tblCellMar>
              </w:tblPrEx>
              <w:trPr>
                <w:trHeight w:val="1220" w:hRule="atLeast"/>
                <w:jc w:val="center"/>
              </w:trPr>
              <w:tc>
                <w:tcPr>
                  <w:tcW w:w="620" w:type="dxa"/>
                  <w:tcBorders>
                    <w:top w:val="nil"/>
                    <w:left w:val="single" w:color="000000" w:sz="4" w:space="0"/>
                    <w:bottom w:val="single" w:color="auto" w:sz="4" w:space="0"/>
                    <w:right w:val="single" w:color="000000" w:sz="4" w:space="0"/>
                  </w:tcBorders>
                  <w:shd w:val="clear"/>
                  <w:tcMar>
                    <w:left w:w="70" w:type="dxa"/>
                    <w:right w:w="70" w:type="dxa"/>
                  </w:tcMar>
                  <w:vAlign w:val="center"/>
                </w:tcPr>
                <w:p w14:paraId="28FA70A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spacing w:val="0"/>
                      <w:sz w:val="14"/>
                      <w:szCs w:val="14"/>
                      <w:bdr w:val="none" w:color="auto" w:sz="0" w:space="0"/>
                    </w:rPr>
                    <w:t>0828建筑类</w:t>
                  </w:r>
                </w:p>
              </w:tc>
              <w:tc>
                <w:tcPr>
                  <w:tcW w:w="570" w:type="dxa"/>
                  <w:tcBorders>
                    <w:top w:val="nil"/>
                    <w:left w:val="single" w:color="000000" w:sz="4" w:space="0"/>
                    <w:bottom w:val="single" w:color="000000" w:sz="4" w:space="0"/>
                    <w:right w:val="single" w:color="000000" w:sz="4" w:space="0"/>
                  </w:tcBorders>
                  <w:shd w:val="clear"/>
                  <w:tcMar>
                    <w:left w:w="70" w:type="dxa"/>
                    <w:right w:w="70" w:type="dxa"/>
                  </w:tcMar>
                  <w:vAlign w:val="center"/>
                </w:tcPr>
                <w:p w14:paraId="47D1BDF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sz w:val="16"/>
                      <w:szCs w:val="16"/>
                      <w:bdr w:val="none" w:color="auto" w:sz="0" w:space="0"/>
                    </w:rPr>
                    <w:t>风景园林</w:t>
                  </w:r>
                </w:p>
              </w:tc>
              <w:tc>
                <w:tcPr>
                  <w:tcW w:w="540" w:type="dxa"/>
                  <w:tcBorders>
                    <w:top w:val="nil"/>
                    <w:left w:val="single" w:color="000000" w:sz="4" w:space="0"/>
                    <w:bottom w:val="single" w:color="000000" w:sz="4" w:space="0"/>
                    <w:right w:val="single" w:color="000000" w:sz="4" w:space="0"/>
                  </w:tcBorders>
                  <w:shd w:val="clear"/>
                  <w:tcMar>
                    <w:left w:w="70" w:type="dxa"/>
                    <w:right w:w="70" w:type="dxa"/>
                  </w:tcMar>
                  <w:vAlign w:val="center"/>
                </w:tcPr>
                <w:p w14:paraId="0E38F91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sz w:val="14"/>
                      <w:szCs w:val="14"/>
                      <w:bdr w:val="none" w:color="auto" w:sz="0" w:space="0"/>
                    </w:rPr>
                    <w:t>9</w:t>
                  </w:r>
                </w:p>
              </w:tc>
              <w:tc>
                <w:tcPr>
                  <w:tcW w:w="840" w:type="dxa"/>
                  <w:tcBorders>
                    <w:top w:val="nil"/>
                    <w:left w:val="single" w:color="000000" w:sz="4" w:space="0"/>
                    <w:bottom w:val="single" w:color="000000" w:sz="4" w:space="0"/>
                    <w:right w:val="single" w:color="000000" w:sz="4" w:space="0"/>
                  </w:tcBorders>
                  <w:shd w:val="clear"/>
                  <w:tcMar>
                    <w:left w:w="70" w:type="dxa"/>
                    <w:right w:w="70" w:type="dxa"/>
                  </w:tcMar>
                  <w:vAlign w:val="center"/>
                </w:tcPr>
                <w:p w14:paraId="01EF996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spacing w:val="0"/>
                      <w:sz w:val="14"/>
                      <w:szCs w:val="14"/>
                      <w:bdr w:val="none" w:color="auto" w:sz="0" w:space="0"/>
                    </w:rPr>
                    <w:t>与江西环境工程职业学院联合培养</w:t>
                  </w:r>
                </w:p>
              </w:tc>
              <w:tc>
                <w:tcPr>
                  <w:tcW w:w="3060" w:type="dxa"/>
                  <w:tcBorders>
                    <w:top w:val="nil"/>
                    <w:left w:val="single" w:color="000000" w:sz="4" w:space="0"/>
                    <w:bottom w:val="single" w:color="000000" w:sz="4" w:space="0"/>
                    <w:right w:val="single" w:color="000000" w:sz="4" w:space="0"/>
                  </w:tcBorders>
                  <w:shd w:val="clear"/>
                  <w:tcMar>
                    <w:left w:w="70" w:type="dxa"/>
                    <w:right w:w="70" w:type="dxa"/>
                  </w:tcMar>
                  <w:vAlign w:val="center"/>
                </w:tcPr>
                <w:p w14:paraId="737BFEF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60" w:lineRule="atLeast"/>
                    <w:ind w:left="0" w:right="0"/>
                  </w:pPr>
                  <w:r>
                    <w:rPr>
                      <w:sz w:val="14"/>
                      <w:szCs w:val="14"/>
                      <w:bdr w:val="none" w:color="auto" w:sz="0" w:space="0"/>
                    </w:rPr>
                    <w:t>44土木建筑大类、45水利大类、410202 园林技术、500101铁道工程技术、500102 高速铁路施工与维护、500103 铁道桥梁隧道工程技术、500201道路与桥梁工程技术、500204道路工程检测技术专业、500206道路养护与管理、500302港口与航道工程技术、500501管道工程技术、500601城市轨道交通工程技术</w:t>
                  </w:r>
                </w:p>
              </w:tc>
            </w:tr>
          </w:tbl>
          <w:p w14:paraId="25AED5C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pPr>
          </w:p>
          <w:p w14:paraId="6C5C796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30"/>
            </w:pPr>
            <w:r>
              <w:rPr>
                <w:rFonts w:hint="eastAsia" w:ascii="黑体" w:hAnsi="宋体" w:eastAsia="黑体" w:cs="黑体"/>
                <w:caps w:val="0"/>
                <w:spacing w:val="0"/>
                <w:sz w:val="21"/>
                <w:szCs w:val="21"/>
                <w:bdr w:val="none" w:color="auto" w:sz="0" w:space="0"/>
              </w:rPr>
              <w:t>二、招生对象</w:t>
            </w:r>
          </w:p>
          <w:p w14:paraId="57D8E9F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30"/>
            </w:pPr>
            <w:r>
              <w:rPr>
                <w:rFonts w:hint="default" w:ascii="仿宋_GB2312" w:hAnsi="仿宋_GB2312" w:eastAsia="仿宋_GB2312" w:cs="仿宋_GB2312"/>
                <w:caps w:val="0"/>
                <w:spacing w:val="0"/>
                <w:sz w:val="21"/>
                <w:szCs w:val="21"/>
                <w:bdr w:val="none" w:color="auto" w:sz="0" w:space="0"/>
              </w:rPr>
              <w:t>退役大学生士兵（含2025年3月退役大学生士兵)2025年7月31日前可取得或已取得高职（专科）毕业证的，江西省普通高校高职（专科）在校期间或毕业后应征入伍的；外省普通高校高职（专科）在校期间或毕业后在江西应征入伍的，且在入伍期间和退役后工作学习期间无记过及以上纪律处分，或受到纪律处分但报名前已解除处分的。</w:t>
            </w:r>
          </w:p>
          <w:p w14:paraId="19BDA25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30"/>
            </w:pPr>
            <w:r>
              <w:rPr>
                <w:rFonts w:hint="eastAsia" w:ascii="黑体" w:hAnsi="宋体" w:eastAsia="黑体" w:cs="黑体"/>
                <w:caps w:val="0"/>
                <w:spacing w:val="0"/>
                <w:sz w:val="21"/>
                <w:szCs w:val="21"/>
                <w:bdr w:val="none" w:color="auto" w:sz="0" w:space="0"/>
              </w:rPr>
              <w:t>三、报名条件</w:t>
            </w:r>
          </w:p>
          <w:p w14:paraId="1795BDA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30"/>
            </w:pPr>
            <w:r>
              <w:rPr>
                <w:rFonts w:hint="default" w:ascii="仿宋_GB2312" w:hAnsi="仿宋_GB2312" w:eastAsia="仿宋_GB2312" w:cs="仿宋_GB2312"/>
                <w:caps w:val="0"/>
                <w:spacing w:val="0"/>
                <w:sz w:val="21"/>
                <w:szCs w:val="21"/>
                <w:bdr w:val="none" w:color="auto" w:sz="0" w:space="0"/>
              </w:rPr>
              <w:t>考生报名需同时满足以下基本条件：</w:t>
            </w:r>
          </w:p>
          <w:p w14:paraId="4A6D8E2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30"/>
            </w:pPr>
            <w:r>
              <w:rPr>
                <w:rFonts w:hint="default" w:ascii="仿宋_GB2312" w:hAnsi="仿宋_GB2312" w:eastAsia="仿宋_GB2312" w:cs="仿宋_GB2312"/>
                <w:caps w:val="0"/>
                <w:spacing w:val="0"/>
                <w:sz w:val="21"/>
                <w:szCs w:val="21"/>
                <w:bdr w:val="none" w:color="auto" w:sz="0" w:space="0"/>
              </w:rPr>
              <w:t>1.遵守《中华人民共和国宪法》及其他法律法规。</w:t>
            </w:r>
          </w:p>
          <w:p w14:paraId="1A66DDA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30"/>
            </w:pPr>
            <w:r>
              <w:rPr>
                <w:rFonts w:hint="default" w:ascii="仿宋_GB2312" w:hAnsi="仿宋_GB2312" w:eastAsia="仿宋_GB2312" w:cs="仿宋_GB2312"/>
                <w:caps w:val="0"/>
                <w:spacing w:val="0"/>
                <w:sz w:val="21"/>
                <w:szCs w:val="21"/>
                <w:bdr w:val="none" w:color="auto" w:sz="0" w:space="0"/>
              </w:rPr>
              <w:t>2.身体状况符合相关要求。</w:t>
            </w:r>
          </w:p>
          <w:p w14:paraId="7B37EBF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30"/>
            </w:pPr>
            <w:r>
              <w:rPr>
                <w:rFonts w:hint="default" w:ascii="仿宋_GB2312" w:hAnsi="仿宋_GB2312" w:eastAsia="仿宋_GB2312" w:cs="仿宋_GB2312"/>
                <w:caps w:val="0"/>
                <w:spacing w:val="0"/>
                <w:sz w:val="21"/>
                <w:szCs w:val="21"/>
                <w:bdr w:val="none" w:color="auto" w:sz="0" w:space="0"/>
              </w:rPr>
              <w:t>3.高职（专科）学习期间无记过及以上纪律处分，或受到纪律处分但报名前已解除处分的。</w:t>
            </w:r>
          </w:p>
          <w:p w14:paraId="0BAB227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30"/>
            </w:pPr>
            <w:r>
              <w:rPr>
                <w:rFonts w:hint="default" w:ascii="仿宋_GB2312" w:hAnsi="仿宋_GB2312" w:eastAsia="仿宋_GB2312" w:cs="仿宋_GB2312"/>
                <w:caps w:val="0"/>
                <w:spacing w:val="0"/>
                <w:sz w:val="21"/>
                <w:szCs w:val="21"/>
                <w:bdr w:val="none" w:color="auto" w:sz="0" w:space="0"/>
              </w:rPr>
              <w:t>4.在入伍期间和退役后工作学习期间，无记过及以上纪律处分，或受到纪律处分但报名前已解除处分的。</w:t>
            </w:r>
          </w:p>
          <w:p w14:paraId="16D6AAA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30"/>
            </w:pPr>
            <w:r>
              <w:rPr>
                <w:rFonts w:hint="default" w:ascii="仿宋_GB2312" w:hAnsi="仿宋_GB2312" w:eastAsia="仿宋_GB2312" w:cs="仿宋_GB2312"/>
                <w:caps w:val="0"/>
                <w:spacing w:val="0"/>
                <w:sz w:val="21"/>
                <w:szCs w:val="21"/>
                <w:bdr w:val="none" w:color="auto" w:sz="0" w:space="0"/>
              </w:rPr>
              <w:t>5.已在江西省专升本考试报名系统通过报名资格审核，且退役大学生士兵退役身份能通过省退役军人事务厅核定。</w:t>
            </w:r>
          </w:p>
          <w:p w14:paraId="6736CBA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30"/>
            </w:pPr>
            <w:r>
              <w:rPr>
                <w:rFonts w:hint="eastAsia" w:ascii="黑体" w:hAnsi="宋体" w:eastAsia="黑体" w:cs="黑体"/>
                <w:caps w:val="0"/>
                <w:spacing w:val="0"/>
                <w:sz w:val="21"/>
                <w:szCs w:val="21"/>
                <w:bdr w:val="none" w:color="auto" w:sz="0" w:space="0"/>
              </w:rPr>
              <w:t>四、免试考查报名</w:t>
            </w:r>
          </w:p>
          <w:p w14:paraId="2986B59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30"/>
            </w:pPr>
            <w:r>
              <w:rPr>
                <w:rStyle w:val="5"/>
                <w:rFonts w:hint="default" w:ascii="仿宋_GB2312" w:hAnsi="仿宋_GB2312" w:eastAsia="仿宋_GB2312" w:cs="仿宋_GB2312"/>
                <w:b w:val="0"/>
                <w:bCs w:val="0"/>
                <w:i w:val="0"/>
                <w:iCs w:val="0"/>
                <w:caps w:val="0"/>
                <w:spacing w:val="0"/>
                <w:sz w:val="21"/>
                <w:szCs w:val="21"/>
                <w:bdr w:val="none" w:color="auto" w:sz="0" w:space="0"/>
              </w:rPr>
              <w:t>（一）报名方式</w:t>
            </w:r>
          </w:p>
          <w:p w14:paraId="5B04220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30"/>
            </w:pPr>
            <w:r>
              <w:rPr>
                <w:rFonts w:hint="default" w:ascii="仿宋_GB2312" w:hAnsi="仿宋_GB2312" w:eastAsia="仿宋_GB2312" w:cs="仿宋_GB2312"/>
                <w:caps w:val="0"/>
                <w:spacing w:val="0"/>
                <w:sz w:val="21"/>
                <w:szCs w:val="21"/>
                <w:bdr w:val="none" w:color="auto" w:sz="0" w:space="0"/>
              </w:rPr>
              <w:t>现场报名，在规定时间内携带相关报名资料进行递交。</w:t>
            </w:r>
          </w:p>
          <w:p w14:paraId="7962D1E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30"/>
            </w:pPr>
            <w:r>
              <w:rPr>
                <w:rFonts w:hint="default" w:ascii="仿宋_GB2312" w:hAnsi="仿宋_GB2312" w:eastAsia="仿宋_GB2312" w:cs="仿宋_GB2312"/>
                <w:caps w:val="0"/>
                <w:spacing w:val="0"/>
                <w:sz w:val="21"/>
                <w:szCs w:val="21"/>
                <w:bdr w:val="none" w:color="auto" w:sz="0" w:space="0"/>
              </w:rPr>
              <w:t>（二）</w:t>
            </w:r>
            <w:r>
              <w:rPr>
                <w:rStyle w:val="5"/>
                <w:rFonts w:hint="default" w:ascii="仿宋_GB2312" w:hAnsi="仿宋_GB2312" w:eastAsia="仿宋_GB2312" w:cs="仿宋_GB2312"/>
                <w:b w:val="0"/>
                <w:bCs w:val="0"/>
                <w:i w:val="0"/>
                <w:iCs w:val="0"/>
                <w:caps w:val="0"/>
                <w:spacing w:val="0"/>
                <w:sz w:val="21"/>
                <w:szCs w:val="21"/>
                <w:bdr w:val="none" w:color="auto" w:sz="0" w:space="0"/>
              </w:rPr>
              <w:t>报名地点</w:t>
            </w:r>
          </w:p>
          <w:tbl>
            <w:tblPr>
              <w:tblW w:w="0" w:type="auto"/>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1780"/>
              <w:gridCol w:w="1420"/>
              <w:gridCol w:w="860"/>
              <w:gridCol w:w="1620"/>
            </w:tblGrid>
            <w:tr w14:paraId="32C87FD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0" w:type="dxa"/>
                  <w:left w:w="0" w:type="dxa"/>
                  <w:bottom w:w="0" w:type="dxa"/>
                  <w:right w:w="0" w:type="dxa"/>
                </w:tblCellMar>
              </w:tblPrEx>
              <w:trPr>
                <w:jc w:val="center"/>
              </w:trPr>
              <w:tc>
                <w:tcPr>
                  <w:tcW w:w="1780" w:type="dxa"/>
                  <w:tcBorders>
                    <w:top w:val="single" w:color="auto" w:sz="4" w:space="0"/>
                    <w:left w:val="single" w:color="auto" w:sz="4" w:space="0"/>
                    <w:bottom w:val="single" w:color="auto" w:sz="4" w:space="0"/>
                    <w:right w:val="single" w:color="auto" w:sz="4" w:space="0"/>
                  </w:tcBorders>
                  <w:shd w:val="clear"/>
                  <w:tcMar>
                    <w:left w:w="70" w:type="dxa"/>
                    <w:right w:w="70" w:type="dxa"/>
                  </w:tcMar>
                  <w:vAlign w:val="center"/>
                </w:tcPr>
                <w:p w14:paraId="237195F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jc w:val="center"/>
                  </w:pPr>
                  <w:r>
                    <w:rPr>
                      <w:rFonts w:hint="default" w:ascii="仿宋_GB2312" w:hAnsi="仿宋_GB2312" w:eastAsia="仿宋_GB2312" w:cs="仿宋_GB2312"/>
                      <w:sz w:val="16"/>
                      <w:szCs w:val="16"/>
                      <w:bdr w:val="none" w:color="auto" w:sz="0" w:space="0"/>
                    </w:rPr>
                    <w:t>专业</w:t>
                  </w:r>
                </w:p>
              </w:tc>
              <w:tc>
                <w:tcPr>
                  <w:tcW w:w="1420" w:type="dxa"/>
                  <w:tcBorders>
                    <w:top w:val="single" w:color="auto" w:sz="4" w:space="0"/>
                    <w:left w:val="single" w:color="auto" w:sz="4" w:space="0"/>
                    <w:bottom w:val="single" w:color="auto" w:sz="4" w:space="0"/>
                    <w:right w:val="single" w:color="auto" w:sz="4" w:space="0"/>
                  </w:tcBorders>
                  <w:shd w:val="clear"/>
                  <w:tcMar>
                    <w:left w:w="70" w:type="dxa"/>
                    <w:right w:w="70" w:type="dxa"/>
                  </w:tcMar>
                  <w:vAlign w:val="center"/>
                </w:tcPr>
                <w:p w14:paraId="1CD8413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jc w:val="center"/>
                  </w:pPr>
                  <w:r>
                    <w:rPr>
                      <w:rStyle w:val="5"/>
                      <w:rFonts w:hint="default" w:ascii="仿宋_GB2312" w:hAnsi="仿宋_GB2312" w:eastAsia="仿宋_GB2312" w:cs="仿宋_GB2312"/>
                      <w:b w:val="0"/>
                      <w:bCs w:val="0"/>
                      <w:i w:val="0"/>
                      <w:iCs w:val="0"/>
                      <w:sz w:val="16"/>
                      <w:szCs w:val="16"/>
                      <w:bdr w:val="none" w:color="auto" w:sz="0" w:space="0"/>
                    </w:rPr>
                    <w:t>报名地点</w:t>
                  </w:r>
                </w:p>
              </w:tc>
              <w:tc>
                <w:tcPr>
                  <w:tcW w:w="860" w:type="dxa"/>
                  <w:tcBorders>
                    <w:top w:val="single" w:color="auto" w:sz="4" w:space="0"/>
                    <w:left w:val="single" w:color="auto" w:sz="4" w:space="0"/>
                    <w:bottom w:val="single" w:color="auto" w:sz="4" w:space="0"/>
                    <w:right w:val="single" w:color="auto" w:sz="4" w:space="0"/>
                  </w:tcBorders>
                  <w:shd w:val="clear"/>
                  <w:tcMar>
                    <w:left w:w="70" w:type="dxa"/>
                    <w:right w:w="70" w:type="dxa"/>
                  </w:tcMar>
                  <w:vAlign w:val="center"/>
                </w:tcPr>
                <w:p w14:paraId="62977FD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jc w:val="center"/>
                  </w:pPr>
                  <w:r>
                    <w:rPr>
                      <w:rStyle w:val="5"/>
                      <w:rFonts w:hint="default" w:ascii="仿宋_GB2312" w:hAnsi="仿宋_GB2312" w:eastAsia="仿宋_GB2312" w:cs="仿宋_GB2312"/>
                      <w:b w:val="0"/>
                      <w:bCs w:val="0"/>
                      <w:i w:val="0"/>
                      <w:iCs w:val="0"/>
                      <w:sz w:val="16"/>
                      <w:szCs w:val="16"/>
                      <w:bdr w:val="none" w:color="auto" w:sz="0" w:space="0"/>
                    </w:rPr>
                    <w:t>联系人</w:t>
                  </w:r>
                </w:p>
              </w:tc>
              <w:tc>
                <w:tcPr>
                  <w:tcW w:w="1620" w:type="dxa"/>
                  <w:tcBorders>
                    <w:top w:val="single" w:color="auto" w:sz="4" w:space="0"/>
                    <w:left w:val="single" w:color="auto" w:sz="4" w:space="0"/>
                    <w:bottom w:val="single" w:color="auto" w:sz="4" w:space="0"/>
                    <w:right w:val="single" w:color="auto" w:sz="4" w:space="0"/>
                  </w:tcBorders>
                  <w:shd w:val="clear"/>
                  <w:tcMar>
                    <w:left w:w="70" w:type="dxa"/>
                    <w:right w:w="70" w:type="dxa"/>
                  </w:tcMar>
                  <w:vAlign w:val="center"/>
                </w:tcPr>
                <w:p w14:paraId="1484369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jc w:val="center"/>
                  </w:pPr>
                  <w:r>
                    <w:rPr>
                      <w:rStyle w:val="5"/>
                      <w:rFonts w:hint="default" w:ascii="仿宋_GB2312" w:hAnsi="仿宋_GB2312" w:eastAsia="仿宋_GB2312" w:cs="仿宋_GB2312"/>
                      <w:b w:val="0"/>
                      <w:bCs w:val="0"/>
                      <w:i w:val="0"/>
                      <w:iCs w:val="0"/>
                      <w:sz w:val="16"/>
                      <w:szCs w:val="16"/>
                      <w:bdr w:val="none" w:color="auto" w:sz="0" w:space="0"/>
                    </w:rPr>
                    <w:t>咨询电话</w:t>
                  </w:r>
                </w:p>
              </w:tc>
            </w:tr>
            <w:tr w14:paraId="6837DD9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0" w:type="dxa"/>
                  <w:left w:w="0" w:type="dxa"/>
                  <w:bottom w:w="0" w:type="dxa"/>
                  <w:right w:w="0" w:type="dxa"/>
                </w:tblCellMar>
              </w:tblPrEx>
              <w:trPr>
                <w:jc w:val="center"/>
              </w:trPr>
              <w:tc>
                <w:tcPr>
                  <w:tcW w:w="1780" w:type="dxa"/>
                  <w:tcBorders>
                    <w:top w:val="nil"/>
                    <w:left w:val="single" w:color="auto" w:sz="4" w:space="0"/>
                    <w:bottom w:val="single" w:color="auto" w:sz="4" w:space="0"/>
                    <w:right w:val="single" w:color="auto" w:sz="4" w:space="0"/>
                  </w:tcBorders>
                  <w:shd w:val="clear"/>
                  <w:tcMar>
                    <w:left w:w="70" w:type="dxa"/>
                    <w:right w:w="70" w:type="dxa"/>
                  </w:tcMar>
                  <w:vAlign w:val="center"/>
                </w:tcPr>
                <w:p w14:paraId="7E9263A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jc w:val="center"/>
                  </w:pPr>
                  <w:r>
                    <w:rPr>
                      <w:rFonts w:hint="default" w:ascii="仿宋_GB2312" w:hAnsi="仿宋_GB2312" w:eastAsia="仿宋_GB2312" w:cs="仿宋_GB2312"/>
                      <w:sz w:val="16"/>
                      <w:szCs w:val="16"/>
                      <w:bdr w:val="none" w:color="auto" w:sz="0" w:space="0"/>
                    </w:rPr>
                    <w:t>水利水电工程</w:t>
                  </w:r>
                </w:p>
              </w:tc>
              <w:tc>
                <w:tcPr>
                  <w:tcW w:w="1420" w:type="dxa"/>
                  <w:tcBorders>
                    <w:top w:val="nil"/>
                    <w:left w:val="single" w:color="auto" w:sz="4" w:space="0"/>
                    <w:bottom w:val="single" w:color="auto" w:sz="4" w:space="0"/>
                    <w:right w:val="single" w:color="auto" w:sz="4" w:space="0"/>
                  </w:tcBorders>
                  <w:shd w:val="clear"/>
                  <w:tcMar>
                    <w:left w:w="70" w:type="dxa"/>
                    <w:right w:w="70" w:type="dxa"/>
                  </w:tcMar>
                  <w:vAlign w:val="center"/>
                </w:tcPr>
                <w:p w14:paraId="0B2B508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jc w:val="center"/>
                  </w:pPr>
                  <w:r>
                    <w:rPr>
                      <w:rFonts w:hint="default" w:ascii="仿宋_GB2312" w:hAnsi="仿宋_GB2312" w:eastAsia="仿宋_GB2312" w:cs="仿宋_GB2312"/>
                      <w:sz w:val="16"/>
                      <w:szCs w:val="16"/>
                      <w:bdr w:val="none" w:color="auto" w:sz="0" w:space="0"/>
                    </w:rPr>
                    <w:t>逸夫楼A323</w:t>
                  </w:r>
                </w:p>
              </w:tc>
              <w:tc>
                <w:tcPr>
                  <w:tcW w:w="860" w:type="dxa"/>
                  <w:tcBorders>
                    <w:top w:val="nil"/>
                    <w:left w:val="single" w:color="auto" w:sz="4" w:space="0"/>
                    <w:bottom w:val="single" w:color="auto" w:sz="4" w:space="0"/>
                    <w:right w:val="single" w:color="auto" w:sz="4" w:space="0"/>
                  </w:tcBorders>
                  <w:shd w:val="clear"/>
                  <w:tcMar>
                    <w:left w:w="70" w:type="dxa"/>
                    <w:right w:w="70" w:type="dxa"/>
                  </w:tcMar>
                  <w:vAlign w:val="center"/>
                </w:tcPr>
                <w:p w14:paraId="1E457A2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jc w:val="center"/>
                  </w:pPr>
                  <w:r>
                    <w:rPr>
                      <w:rFonts w:hint="default" w:ascii="仿宋_GB2312" w:hAnsi="仿宋_GB2312" w:eastAsia="仿宋_GB2312" w:cs="仿宋_GB2312"/>
                      <w:sz w:val="16"/>
                      <w:szCs w:val="16"/>
                      <w:bdr w:val="none" w:color="auto" w:sz="0" w:space="0"/>
                    </w:rPr>
                    <w:t>胡老师</w:t>
                  </w:r>
                </w:p>
              </w:tc>
              <w:tc>
                <w:tcPr>
                  <w:tcW w:w="1620" w:type="dxa"/>
                  <w:tcBorders>
                    <w:top w:val="nil"/>
                    <w:left w:val="single" w:color="auto" w:sz="4" w:space="0"/>
                    <w:bottom w:val="single" w:color="auto" w:sz="4" w:space="0"/>
                    <w:right w:val="single" w:color="auto" w:sz="4" w:space="0"/>
                  </w:tcBorders>
                  <w:shd w:val="clear"/>
                  <w:tcMar>
                    <w:left w:w="70" w:type="dxa"/>
                    <w:right w:w="70" w:type="dxa"/>
                  </w:tcMar>
                  <w:vAlign w:val="center"/>
                </w:tcPr>
                <w:p w14:paraId="0F502FF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jc w:val="center"/>
                  </w:pPr>
                  <w:r>
                    <w:rPr>
                      <w:rFonts w:hint="default" w:ascii="仿宋_GB2312" w:hAnsi="仿宋_GB2312" w:eastAsia="仿宋_GB2312" w:cs="仿宋_GB2312"/>
                      <w:sz w:val="16"/>
                      <w:szCs w:val="16"/>
                      <w:bdr w:val="none" w:color="auto" w:sz="0" w:space="0"/>
                    </w:rPr>
                    <w:t>0791-88130725</w:t>
                  </w:r>
                </w:p>
              </w:tc>
            </w:tr>
            <w:tr w14:paraId="655B53B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0" w:type="dxa"/>
                  <w:left w:w="0" w:type="dxa"/>
                  <w:bottom w:w="0" w:type="dxa"/>
                  <w:right w:w="0" w:type="dxa"/>
                </w:tblCellMar>
              </w:tblPrEx>
              <w:trPr>
                <w:jc w:val="center"/>
              </w:trPr>
              <w:tc>
                <w:tcPr>
                  <w:tcW w:w="1780" w:type="dxa"/>
                  <w:tcBorders>
                    <w:top w:val="nil"/>
                    <w:left w:val="single" w:color="auto" w:sz="4" w:space="0"/>
                    <w:bottom w:val="single" w:color="auto" w:sz="4" w:space="0"/>
                    <w:right w:val="single" w:color="auto" w:sz="4" w:space="0"/>
                  </w:tcBorders>
                  <w:shd w:val="clear"/>
                  <w:tcMar>
                    <w:left w:w="70" w:type="dxa"/>
                    <w:right w:w="70" w:type="dxa"/>
                  </w:tcMar>
                  <w:vAlign w:val="center"/>
                </w:tcPr>
                <w:p w14:paraId="467E37A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jc w:val="center"/>
                  </w:pPr>
                  <w:r>
                    <w:rPr>
                      <w:rFonts w:hint="default" w:ascii="仿宋_GB2312" w:hAnsi="仿宋_GB2312" w:eastAsia="仿宋_GB2312" w:cs="仿宋_GB2312"/>
                      <w:sz w:val="16"/>
                      <w:szCs w:val="16"/>
                      <w:bdr w:val="none" w:color="auto" w:sz="0" w:space="0"/>
                    </w:rPr>
                    <w:t>水土保持与荒漠化防治</w:t>
                  </w:r>
                </w:p>
              </w:tc>
              <w:tc>
                <w:tcPr>
                  <w:tcW w:w="1420" w:type="dxa"/>
                  <w:tcBorders>
                    <w:top w:val="nil"/>
                    <w:left w:val="single" w:color="auto" w:sz="4" w:space="0"/>
                    <w:bottom w:val="single" w:color="auto" w:sz="4" w:space="0"/>
                    <w:right w:val="single" w:color="auto" w:sz="4" w:space="0"/>
                  </w:tcBorders>
                  <w:shd w:val="clear"/>
                  <w:tcMar>
                    <w:left w:w="70" w:type="dxa"/>
                    <w:right w:w="70" w:type="dxa"/>
                  </w:tcMar>
                  <w:vAlign w:val="center"/>
                </w:tcPr>
                <w:p w14:paraId="7C0A923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jc w:val="center"/>
                  </w:pPr>
                  <w:r>
                    <w:rPr>
                      <w:rFonts w:hint="default" w:ascii="仿宋_GB2312" w:hAnsi="仿宋_GB2312" w:eastAsia="仿宋_GB2312" w:cs="仿宋_GB2312"/>
                      <w:sz w:val="16"/>
                      <w:szCs w:val="16"/>
                      <w:bdr w:val="none" w:color="auto" w:sz="0" w:space="0"/>
                    </w:rPr>
                    <w:t>逸夫楼A234</w:t>
                  </w:r>
                </w:p>
              </w:tc>
              <w:tc>
                <w:tcPr>
                  <w:tcW w:w="860" w:type="dxa"/>
                  <w:tcBorders>
                    <w:top w:val="nil"/>
                    <w:left w:val="single" w:color="auto" w:sz="4" w:space="0"/>
                    <w:bottom w:val="single" w:color="auto" w:sz="4" w:space="0"/>
                    <w:right w:val="single" w:color="auto" w:sz="4" w:space="0"/>
                  </w:tcBorders>
                  <w:shd w:val="clear"/>
                  <w:tcMar>
                    <w:left w:w="70" w:type="dxa"/>
                    <w:right w:w="70" w:type="dxa"/>
                  </w:tcMar>
                  <w:vAlign w:val="center"/>
                </w:tcPr>
                <w:p w14:paraId="71B50D7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jc w:val="center"/>
                  </w:pPr>
                  <w:r>
                    <w:rPr>
                      <w:rFonts w:hint="default" w:ascii="仿宋_GB2312" w:hAnsi="仿宋_GB2312" w:eastAsia="仿宋_GB2312" w:cs="仿宋_GB2312"/>
                      <w:sz w:val="16"/>
                      <w:szCs w:val="16"/>
                      <w:bdr w:val="none" w:color="auto" w:sz="0" w:space="0"/>
                    </w:rPr>
                    <w:t>徐老师</w:t>
                  </w:r>
                </w:p>
              </w:tc>
              <w:tc>
                <w:tcPr>
                  <w:tcW w:w="1620" w:type="dxa"/>
                  <w:tcBorders>
                    <w:top w:val="nil"/>
                    <w:left w:val="single" w:color="auto" w:sz="4" w:space="0"/>
                    <w:bottom w:val="single" w:color="auto" w:sz="4" w:space="0"/>
                    <w:right w:val="single" w:color="auto" w:sz="4" w:space="0"/>
                  </w:tcBorders>
                  <w:shd w:val="clear"/>
                  <w:tcMar>
                    <w:left w:w="70" w:type="dxa"/>
                    <w:right w:w="70" w:type="dxa"/>
                  </w:tcMar>
                  <w:vAlign w:val="center"/>
                </w:tcPr>
                <w:p w14:paraId="27DAF80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jc w:val="center"/>
                  </w:pPr>
                  <w:r>
                    <w:rPr>
                      <w:rFonts w:hint="default" w:ascii="仿宋_GB2312" w:hAnsi="仿宋_GB2312" w:eastAsia="仿宋_GB2312" w:cs="仿宋_GB2312"/>
                      <w:sz w:val="16"/>
                      <w:szCs w:val="16"/>
                      <w:bdr w:val="none" w:color="auto" w:sz="0" w:space="0"/>
                    </w:rPr>
                    <w:t>0791-88126002</w:t>
                  </w:r>
                </w:p>
              </w:tc>
            </w:tr>
            <w:tr w14:paraId="56C69F0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0" w:type="dxa"/>
                  <w:left w:w="0" w:type="dxa"/>
                  <w:bottom w:w="0" w:type="dxa"/>
                  <w:right w:w="0" w:type="dxa"/>
                </w:tblCellMar>
              </w:tblPrEx>
              <w:trPr>
                <w:jc w:val="center"/>
              </w:trPr>
              <w:tc>
                <w:tcPr>
                  <w:tcW w:w="1780" w:type="dxa"/>
                  <w:tcBorders>
                    <w:top w:val="nil"/>
                    <w:left w:val="single" w:color="auto" w:sz="4" w:space="0"/>
                    <w:bottom w:val="single" w:color="auto" w:sz="4" w:space="0"/>
                    <w:right w:val="single" w:color="auto" w:sz="4" w:space="0"/>
                  </w:tcBorders>
                  <w:shd w:val="clear"/>
                  <w:tcMar>
                    <w:left w:w="70" w:type="dxa"/>
                    <w:right w:w="70" w:type="dxa"/>
                  </w:tcMar>
                  <w:vAlign w:val="center"/>
                </w:tcPr>
                <w:p w14:paraId="6B63DE0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jc w:val="center"/>
                  </w:pPr>
                  <w:r>
                    <w:rPr>
                      <w:rFonts w:hint="default" w:ascii="仿宋_GB2312" w:hAnsi="仿宋_GB2312" w:eastAsia="仿宋_GB2312" w:cs="仿宋_GB2312"/>
                      <w:sz w:val="16"/>
                      <w:szCs w:val="16"/>
                      <w:bdr w:val="none" w:color="auto" w:sz="0" w:space="0"/>
                    </w:rPr>
                    <w:t>风景园林</w:t>
                  </w:r>
                </w:p>
              </w:tc>
              <w:tc>
                <w:tcPr>
                  <w:tcW w:w="1420" w:type="dxa"/>
                  <w:tcBorders>
                    <w:top w:val="nil"/>
                    <w:left w:val="single" w:color="auto" w:sz="4" w:space="0"/>
                    <w:bottom w:val="single" w:color="auto" w:sz="4" w:space="0"/>
                    <w:right w:val="single" w:color="auto" w:sz="4" w:space="0"/>
                  </w:tcBorders>
                  <w:shd w:val="clear"/>
                  <w:tcMar>
                    <w:left w:w="70" w:type="dxa"/>
                    <w:right w:w="70" w:type="dxa"/>
                  </w:tcMar>
                  <w:vAlign w:val="center"/>
                </w:tcPr>
                <w:p w14:paraId="55D32A0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jc w:val="center"/>
                  </w:pPr>
                  <w:r>
                    <w:rPr>
                      <w:rFonts w:hint="default" w:ascii="仿宋_GB2312" w:hAnsi="仿宋_GB2312" w:eastAsia="仿宋_GB2312" w:cs="仿宋_GB2312"/>
                      <w:sz w:val="16"/>
                      <w:szCs w:val="16"/>
                      <w:bdr w:val="none" w:color="auto" w:sz="0" w:space="0"/>
                    </w:rPr>
                    <w:t>逸夫楼A234</w:t>
                  </w:r>
                </w:p>
              </w:tc>
              <w:tc>
                <w:tcPr>
                  <w:tcW w:w="860" w:type="dxa"/>
                  <w:tcBorders>
                    <w:top w:val="nil"/>
                    <w:left w:val="single" w:color="auto" w:sz="4" w:space="0"/>
                    <w:bottom w:val="single" w:color="auto" w:sz="4" w:space="0"/>
                    <w:right w:val="single" w:color="auto" w:sz="4" w:space="0"/>
                  </w:tcBorders>
                  <w:shd w:val="clear"/>
                  <w:tcMar>
                    <w:left w:w="70" w:type="dxa"/>
                    <w:right w:w="70" w:type="dxa"/>
                  </w:tcMar>
                  <w:vAlign w:val="center"/>
                </w:tcPr>
                <w:p w14:paraId="26930CE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jc w:val="center"/>
                  </w:pPr>
                  <w:r>
                    <w:rPr>
                      <w:rFonts w:hint="default" w:ascii="仿宋_GB2312" w:hAnsi="仿宋_GB2312" w:eastAsia="仿宋_GB2312" w:cs="仿宋_GB2312"/>
                      <w:sz w:val="16"/>
                      <w:szCs w:val="16"/>
                      <w:bdr w:val="none" w:color="auto" w:sz="0" w:space="0"/>
                    </w:rPr>
                    <w:t>徐老师</w:t>
                  </w:r>
                </w:p>
              </w:tc>
              <w:tc>
                <w:tcPr>
                  <w:tcW w:w="1620" w:type="dxa"/>
                  <w:tcBorders>
                    <w:top w:val="nil"/>
                    <w:left w:val="single" w:color="auto" w:sz="4" w:space="0"/>
                    <w:bottom w:val="single" w:color="auto" w:sz="4" w:space="0"/>
                    <w:right w:val="single" w:color="auto" w:sz="4" w:space="0"/>
                  </w:tcBorders>
                  <w:shd w:val="clear"/>
                  <w:tcMar>
                    <w:left w:w="70" w:type="dxa"/>
                    <w:right w:w="70" w:type="dxa"/>
                  </w:tcMar>
                  <w:vAlign w:val="center"/>
                </w:tcPr>
                <w:p w14:paraId="4A2E47D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jc w:val="center"/>
                  </w:pPr>
                  <w:r>
                    <w:rPr>
                      <w:rFonts w:hint="default" w:ascii="仿宋_GB2312" w:hAnsi="仿宋_GB2312" w:eastAsia="仿宋_GB2312" w:cs="仿宋_GB2312"/>
                      <w:sz w:val="16"/>
                      <w:szCs w:val="16"/>
                      <w:bdr w:val="none" w:color="auto" w:sz="0" w:space="0"/>
                    </w:rPr>
                    <w:t>0791-88126002</w:t>
                  </w:r>
                </w:p>
              </w:tc>
            </w:tr>
          </w:tbl>
          <w:p w14:paraId="17F033A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firstLine="430"/>
            </w:pPr>
            <w:r>
              <w:rPr>
                <w:rStyle w:val="5"/>
                <w:rFonts w:hint="default" w:ascii="仿宋_GB2312" w:hAnsi="仿宋_GB2312" w:eastAsia="仿宋_GB2312" w:cs="仿宋_GB2312"/>
                <w:b w:val="0"/>
                <w:bCs w:val="0"/>
                <w:i w:val="0"/>
                <w:iCs w:val="0"/>
                <w:caps w:val="0"/>
                <w:spacing w:val="0"/>
                <w:sz w:val="21"/>
                <w:szCs w:val="21"/>
                <w:bdr w:val="none" w:color="auto" w:sz="0" w:space="0"/>
              </w:rPr>
              <w:t>（三）报名时间</w:t>
            </w:r>
          </w:p>
          <w:p w14:paraId="7B852E0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firstLine="430"/>
            </w:pPr>
            <w:r>
              <w:rPr>
                <w:rFonts w:hint="default" w:ascii="仿宋_GB2312" w:hAnsi="仿宋_GB2312" w:eastAsia="仿宋_GB2312" w:cs="仿宋_GB2312"/>
                <w:caps w:val="0"/>
                <w:spacing w:val="0"/>
                <w:sz w:val="21"/>
                <w:szCs w:val="21"/>
                <w:bdr w:val="none" w:color="auto" w:sz="0" w:space="0"/>
              </w:rPr>
              <w:t>3月4日-3月6日9:00-11:00，14:00-16:30</w:t>
            </w:r>
          </w:p>
          <w:p w14:paraId="7090792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firstLine="430"/>
            </w:pPr>
            <w:r>
              <w:rPr>
                <w:rStyle w:val="5"/>
                <w:rFonts w:hint="default" w:ascii="仿宋_GB2312" w:hAnsi="仿宋_GB2312" w:eastAsia="仿宋_GB2312" w:cs="仿宋_GB2312"/>
                <w:b w:val="0"/>
                <w:bCs w:val="0"/>
                <w:i w:val="0"/>
                <w:iCs w:val="0"/>
                <w:caps w:val="0"/>
                <w:spacing w:val="0"/>
                <w:sz w:val="21"/>
                <w:szCs w:val="21"/>
                <w:bdr w:val="none" w:color="auto" w:sz="0" w:space="0"/>
              </w:rPr>
              <w:t>（四）报名须递交的资料</w:t>
            </w:r>
          </w:p>
          <w:p w14:paraId="1A6BA96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30"/>
            </w:pPr>
            <w:r>
              <w:rPr>
                <w:rFonts w:hint="default" w:ascii="仿宋_GB2312" w:hAnsi="仿宋_GB2312" w:eastAsia="仿宋_GB2312" w:cs="仿宋_GB2312"/>
                <w:caps w:val="0"/>
                <w:spacing w:val="0"/>
                <w:sz w:val="21"/>
                <w:szCs w:val="21"/>
                <w:bdr w:val="none" w:color="auto" w:sz="0" w:space="0"/>
              </w:rPr>
              <w:t>1.南昌工程学院2025年退役大学生士兵专升本免试考查报名表（附件1）；</w:t>
            </w:r>
          </w:p>
          <w:p w14:paraId="0BBA2E6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30"/>
            </w:pPr>
            <w:r>
              <w:rPr>
                <w:rFonts w:hint="default" w:ascii="仿宋_GB2312" w:hAnsi="仿宋_GB2312" w:eastAsia="仿宋_GB2312" w:cs="仿宋_GB2312"/>
                <w:caps w:val="0"/>
                <w:spacing w:val="0"/>
                <w:sz w:val="21"/>
                <w:szCs w:val="21"/>
                <w:bdr w:val="none" w:color="auto" w:sz="0" w:space="0"/>
              </w:rPr>
              <w:t>2.毕业证书原件及复印件（应届生为学生证原件及复印件）；</w:t>
            </w:r>
          </w:p>
          <w:p w14:paraId="0EFA1CF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30"/>
            </w:pPr>
            <w:r>
              <w:rPr>
                <w:rFonts w:hint="default" w:ascii="仿宋_GB2312" w:hAnsi="仿宋_GB2312" w:eastAsia="仿宋_GB2312" w:cs="仿宋_GB2312"/>
                <w:caps w:val="0"/>
                <w:spacing w:val="0"/>
                <w:sz w:val="21"/>
                <w:szCs w:val="21"/>
                <w:bdr w:val="none" w:color="auto" w:sz="0" w:space="0"/>
              </w:rPr>
              <w:t>3.退伍证原件及复印件；</w:t>
            </w:r>
          </w:p>
          <w:p w14:paraId="3741FED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30"/>
            </w:pPr>
            <w:r>
              <w:rPr>
                <w:rFonts w:hint="default" w:ascii="仿宋_GB2312" w:hAnsi="仿宋_GB2312" w:eastAsia="仿宋_GB2312" w:cs="仿宋_GB2312"/>
                <w:caps w:val="0"/>
                <w:spacing w:val="0"/>
                <w:sz w:val="21"/>
                <w:szCs w:val="21"/>
                <w:bdr w:val="none" w:color="auto" w:sz="0" w:space="0"/>
              </w:rPr>
              <w:t>考生应对提交全部报考材料的真实性和准确性负责，对于申报虚假或不准确的材料及其它违反考试纪律的行为，学校将取消考查资格。资格审查贯穿综合评价录取全过程。</w:t>
            </w:r>
          </w:p>
          <w:p w14:paraId="270030A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30"/>
            </w:pPr>
            <w:r>
              <w:rPr>
                <w:rFonts w:hint="eastAsia" w:ascii="黑体" w:hAnsi="宋体" w:eastAsia="黑体" w:cs="黑体"/>
                <w:caps w:val="0"/>
                <w:spacing w:val="0"/>
                <w:sz w:val="21"/>
                <w:szCs w:val="21"/>
                <w:bdr w:val="none" w:color="auto" w:sz="0" w:space="0"/>
              </w:rPr>
              <w:t>五、职业技能综合评价</w:t>
            </w:r>
          </w:p>
          <w:p w14:paraId="1304B08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30"/>
            </w:pPr>
            <w:r>
              <w:rPr>
                <w:rStyle w:val="5"/>
                <w:rFonts w:hint="default" w:ascii="仿宋_GB2312" w:hAnsi="仿宋_GB2312" w:eastAsia="仿宋_GB2312" w:cs="仿宋_GB2312"/>
                <w:b w:val="0"/>
                <w:bCs w:val="0"/>
                <w:i w:val="0"/>
                <w:iCs w:val="0"/>
                <w:caps w:val="0"/>
                <w:spacing w:val="0"/>
                <w:sz w:val="21"/>
                <w:szCs w:val="21"/>
                <w:bdr w:val="none" w:color="auto" w:sz="0" w:space="0"/>
              </w:rPr>
              <w:t>（一）时间和地点</w:t>
            </w:r>
          </w:p>
          <w:p w14:paraId="20B9407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30"/>
            </w:pPr>
            <w:r>
              <w:rPr>
                <w:rFonts w:hint="default" w:ascii="仿宋_GB2312" w:hAnsi="仿宋_GB2312" w:eastAsia="仿宋_GB2312" w:cs="仿宋_GB2312"/>
                <w:caps w:val="0"/>
                <w:spacing w:val="0"/>
                <w:sz w:val="21"/>
                <w:szCs w:val="21"/>
                <w:bdr w:val="none" w:color="auto" w:sz="0" w:space="0"/>
              </w:rPr>
              <w:t>考生请于3月6日16:30前加入“2025年专升本退役大学生士兵考查”QQ群，水利水电工程专业群号：274968380，水土保持与荒漠化防治专业群号：1011740235，风景园林专业群号：1021016095。职业技能综合评价时间为3月7日，具体安排见群内通知。</w:t>
            </w:r>
          </w:p>
          <w:p w14:paraId="5519BDF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430"/>
            </w:pPr>
            <w:r>
              <w:rPr>
                <w:rStyle w:val="5"/>
                <w:rFonts w:hint="default" w:ascii="仿宋_GB2312" w:hAnsi="仿宋_GB2312" w:eastAsia="仿宋_GB2312" w:cs="仿宋_GB2312"/>
                <w:b w:val="0"/>
                <w:bCs w:val="0"/>
                <w:i w:val="0"/>
                <w:iCs w:val="0"/>
                <w:caps w:val="0"/>
                <w:spacing w:val="0"/>
                <w:sz w:val="21"/>
                <w:szCs w:val="21"/>
                <w:bdr w:val="none" w:color="auto" w:sz="0" w:space="0"/>
              </w:rPr>
              <w:t>（二）方式和标准</w:t>
            </w:r>
          </w:p>
          <w:p w14:paraId="18BE1E2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firstLine="430"/>
            </w:pPr>
            <w:r>
              <w:rPr>
                <w:rFonts w:hint="default" w:ascii="仿宋_GB2312" w:hAnsi="仿宋_GB2312" w:eastAsia="仿宋_GB2312" w:cs="仿宋_GB2312"/>
                <w:caps w:val="0"/>
                <w:spacing w:val="0"/>
                <w:sz w:val="21"/>
                <w:szCs w:val="21"/>
                <w:bdr w:val="none" w:color="auto" w:sz="0" w:space="0"/>
              </w:rPr>
              <w:t>职业技能综合面试（满分100分），成绩60分及以上为合格。</w:t>
            </w:r>
          </w:p>
          <w:p w14:paraId="2CCD5C3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firstLine="430"/>
            </w:pPr>
            <w:r>
              <w:rPr>
                <w:rFonts w:hint="default" w:ascii="仿宋_GB2312" w:hAnsi="仿宋_GB2312" w:eastAsia="仿宋_GB2312" w:cs="仿宋_GB2312"/>
                <w:caps w:val="0"/>
                <w:spacing w:val="0"/>
                <w:sz w:val="21"/>
                <w:szCs w:val="21"/>
                <w:bdr w:val="none" w:color="auto" w:sz="0" w:space="0"/>
              </w:rPr>
              <w:t>面试官进行随机性开放性问答，考查考生的语言表达能力、思辨能力、逻辑思维能力、应急处理能力和知识面。评价标准如下：</w:t>
            </w:r>
          </w:p>
          <w:tbl>
            <w:tblPr>
              <w:tblW w:w="5600" w:type="dxa"/>
              <w:tblInd w:w="3"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641"/>
              <w:gridCol w:w="942"/>
              <w:gridCol w:w="751"/>
              <w:gridCol w:w="3266"/>
            </w:tblGrid>
            <w:tr w14:paraId="2CFAB49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440" w:hRule="atLeast"/>
              </w:trPr>
              <w:tc>
                <w:tcPr>
                  <w:tcW w:w="640" w:type="dxa"/>
                  <w:tcBorders>
                    <w:top w:val="single" w:color="000000" w:sz="4" w:space="0"/>
                    <w:left w:val="single" w:color="000000" w:sz="4" w:space="0"/>
                    <w:bottom w:val="single" w:color="000000" w:sz="4" w:space="0"/>
                    <w:right w:val="single" w:color="000000" w:sz="4" w:space="0"/>
                  </w:tcBorders>
                  <w:shd w:val="clear"/>
                  <w:tcMar>
                    <w:left w:w="70" w:type="dxa"/>
                    <w:right w:w="70" w:type="dxa"/>
                  </w:tcMar>
                  <w:vAlign w:val="center"/>
                </w:tcPr>
                <w:p w14:paraId="3853F3F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Style w:val="5"/>
                      <w:rFonts w:hint="default" w:ascii="仿宋_GB2312" w:hAnsi="仿宋_GB2312" w:eastAsia="仿宋_GB2312" w:cs="仿宋_GB2312"/>
                      <w:b w:val="0"/>
                      <w:bCs w:val="0"/>
                      <w:i w:val="0"/>
                      <w:iCs w:val="0"/>
                      <w:sz w:val="16"/>
                      <w:szCs w:val="16"/>
                      <w:bdr w:val="none" w:color="auto" w:sz="0" w:space="0"/>
                    </w:rPr>
                    <w:t>面试内容</w:t>
                  </w:r>
                </w:p>
              </w:tc>
              <w:tc>
                <w:tcPr>
                  <w:tcW w:w="940" w:type="dxa"/>
                  <w:tcBorders>
                    <w:top w:val="single" w:color="000000" w:sz="4" w:space="0"/>
                    <w:left w:val="single" w:color="000000" w:sz="4" w:space="0"/>
                    <w:bottom w:val="single" w:color="000000" w:sz="4" w:space="0"/>
                    <w:right w:val="single" w:color="000000" w:sz="4" w:space="0"/>
                  </w:tcBorders>
                  <w:shd w:val="clear"/>
                  <w:tcMar>
                    <w:left w:w="70" w:type="dxa"/>
                    <w:right w:w="70" w:type="dxa"/>
                  </w:tcMar>
                  <w:vAlign w:val="center"/>
                </w:tcPr>
                <w:p w14:paraId="0682959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Style w:val="5"/>
                      <w:rFonts w:hint="default" w:ascii="仿宋_GB2312" w:hAnsi="仿宋_GB2312" w:eastAsia="仿宋_GB2312" w:cs="仿宋_GB2312"/>
                      <w:b w:val="0"/>
                      <w:bCs w:val="0"/>
                      <w:i w:val="0"/>
                      <w:iCs w:val="0"/>
                      <w:sz w:val="16"/>
                      <w:szCs w:val="16"/>
                      <w:bdr w:val="none" w:color="auto" w:sz="0" w:space="0"/>
                    </w:rPr>
                    <w:t>测试</w:t>
                  </w:r>
                </w:p>
                <w:p w14:paraId="7BB6E7A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Style w:val="5"/>
                      <w:rFonts w:hint="default" w:ascii="仿宋_GB2312" w:hAnsi="仿宋_GB2312" w:eastAsia="仿宋_GB2312" w:cs="仿宋_GB2312"/>
                      <w:b w:val="0"/>
                      <w:bCs w:val="0"/>
                      <w:i w:val="0"/>
                      <w:iCs w:val="0"/>
                      <w:sz w:val="16"/>
                      <w:szCs w:val="16"/>
                      <w:bdr w:val="none" w:color="auto" w:sz="0" w:space="0"/>
                    </w:rPr>
                    <w:t>项目</w:t>
                  </w:r>
                </w:p>
              </w:tc>
              <w:tc>
                <w:tcPr>
                  <w:tcW w:w="750" w:type="dxa"/>
                  <w:tcBorders>
                    <w:top w:val="single" w:color="000000" w:sz="4" w:space="0"/>
                    <w:left w:val="single" w:color="000000" w:sz="4" w:space="0"/>
                    <w:bottom w:val="single" w:color="000000" w:sz="4" w:space="0"/>
                    <w:right w:val="single" w:color="000000" w:sz="4" w:space="0"/>
                  </w:tcBorders>
                  <w:shd w:val="clear"/>
                  <w:tcMar>
                    <w:left w:w="70" w:type="dxa"/>
                    <w:right w:w="70" w:type="dxa"/>
                  </w:tcMar>
                  <w:vAlign w:val="center"/>
                </w:tcPr>
                <w:p w14:paraId="55A1656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Style w:val="5"/>
                      <w:rFonts w:hint="default" w:ascii="仿宋_GB2312" w:hAnsi="仿宋_GB2312" w:eastAsia="仿宋_GB2312" w:cs="仿宋_GB2312"/>
                      <w:b w:val="0"/>
                      <w:bCs w:val="0"/>
                      <w:i w:val="0"/>
                      <w:iCs w:val="0"/>
                      <w:sz w:val="16"/>
                      <w:szCs w:val="16"/>
                      <w:bdr w:val="none" w:color="auto" w:sz="0" w:space="0"/>
                    </w:rPr>
                    <w:t>分值</w:t>
                  </w:r>
                </w:p>
              </w:tc>
              <w:tc>
                <w:tcPr>
                  <w:tcW w:w="3260" w:type="dxa"/>
                  <w:tcBorders>
                    <w:top w:val="single" w:color="000000" w:sz="4" w:space="0"/>
                    <w:left w:val="single" w:color="000000" w:sz="4" w:space="0"/>
                    <w:bottom w:val="single" w:color="000000" w:sz="4" w:space="0"/>
                    <w:right w:val="single" w:color="000000" w:sz="4" w:space="0"/>
                  </w:tcBorders>
                  <w:shd w:val="clear"/>
                  <w:tcMar>
                    <w:left w:w="70" w:type="dxa"/>
                    <w:right w:w="70" w:type="dxa"/>
                  </w:tcMar>
                  <w:vAlign w:val="center"/>
                </w:tcPr>
                <w:p w14:paraId="779A209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Style w:val="5"/>
                      <w:rFonts w:hint="default" w:ascii="仿宋_GB2312" w:hAnsi="仿宋_GB2312" w:eastAsia="仿宋_GB2312" w:cs="仿宋_GB2312"/>
                      <w:b w:val="0"/>
                      <w:bCs w:val="0"/>
                      <w:i w:val="0"/>
                      <w:iCs w:val="0"/>
                      <w:sz w:val="16"/>
                      <w:szCs w:val="16"/>
                      <w:bdr w:val="none" w:color="auto" w:sz="0" w:space="0"/>
                    </w:rPr>
                    <w:t>评分标准</w:t>
                  </w:r>
                </w:p>
              </w:tc>
            </w:tr>
            <w:tr w14:paraId="7DA845E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0" w:type="dxa"/>
                  <w:left w:w="0" w:type="dxa"/>
                  <w:bottom w:w="0" w:type="dxa"/>
                  <w:right w:w="0" w:type="dxa"/>
                </w:tblCellMar>
              </w:tblPrEx>
              <w:trPr>
                <w:trHeight w:val="600" w:hRule="atLeast"/>
              </w:trPr>
              <w:tc>
                <w:tcPr>
                  <w:tcW w:w="640" w:type="dxa"/>
                  <w:vMerge w:val="restart"/>
                  <w:tcBorders>
                    <w:top w:val="nil"/>
                    <w:left w:val="single" w:color="000000" w:sz="4" w:space="0"/>
                    <w:bottom w:val="single" w:color="000000" w:sz="4" w:space="0"/>
                    <w:right w:val="single" w:color="000000" w:sz="4" w:space="0"/>
                  </w:tcBorders>
                  <w:shd w:val="clear"/>
                  <w:tcMar>
                    <w:left w:w="70" w:type="dxa"/>
                    <w:right w:w="70" w:type="dxa"/>
                  </w:tcMar>
                  <w:vAlign w:val="center"/>
                </w:tcPr>
                <w:p w14:paraId="4C04452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仿宋_GB2312" w:hAnsi="仿宋_GB2312" w:eastAsia="仿宋_GB2312" w:cs="仿宋_GB2312"/>
                      <w:sz w:val="16"/>
                      <w:szCs w:val="16"/>
                      <w:bdr w:val="none" w:color="auto" w:sz="0" w:space="0"/>
                    </w:rPr>
                    <w:t>职业技能综合面试</w:t>
                  </w:r>
                </w:p>
              </w:tc>
              <w:tc>
                <w:tcPr>
                  <w:tcW w:w="940" w:type="dxa"/>
                  <w:tcBorders>
                    <w:top w:val="nil"/>
                    <w:left w:val="single" w:color="000000" w:sz="4" w:space="0"/>
                    <w:bottom w:val="single" w:color="000000" w:sz="4" w:space="0"/>
                    <w:right w:val="single" w:color="000000" w:sz="4" w:space="0"/>
                  </w:tcBorders>
                  <w:shd w:val="clear"/>
                  <w:tcMar>
                    <w:left w:w="70" w:type="dxa"/>
                    <w:right w:w="70" w:type="dxa"/>
                  </w:tcMar>
                  <w:vAlign w:val="center"/>
                </w:tcPr>
                <w:p w14:paraId="7023BD8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仿宋_GB2312" w:hAnsi="仿宋_GB2312" w:eastAsia="仿宋_GB2312" w:cs="仿宋_GB2312"/>
                      <w:sz w:val="16"/>
                      <w:szCs w:val="16"/>
                      <w:bdr w:val="none" w:color="auto" w:sz="0" w:space="0"/>
                    </w:rPr>
                    <w:t>开放性</w:t>
                  </w:r>
                </w:p>
                <w:p w14:paraId="39245A1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仿宋_GB2312" w:hAnsi="仿宋_GB2312" w:eastAsia="仿宋_GB2312" w:cs="仿宋_GB2312"/>
                      <w:sz w:val="16"/>
                      <w:szCs w:val="16"/>
                      <w:bdr w:val="none" w:color="auto" w:sz="0" w:space="0"/>
                    </w:rPr>
                    <w:t>问答</w:t>
                  </w:r>
                </w:p>
              </w:tc>
              <w:tc>
                <w:tcPr>
                  <w:tcW w:w="750" w:type="dxa"/>
                  <w:tcBorders>
                    <w:top w:val="nil"/>
                    <w:left w:val="single" w:color="000000" w:sz="4" w:space="0"/>
                    <w:bottom w:val="single" w:color="000000" w:sz="4" w:space="0"/>
                    <w:right w:val="single" w:color="000000" w:sz="4" w:space="0"/>
                  </w:tcBorders>
                  <w:shd w:val="clear"/>
                  <w:tcMar>
                    <w:left w:w="70" w:type="dxa"/>
                    <w:right w:w="70" w:type="dxa"/>
                  </w:tcMar>
                  <w:vAlign w:val="center"/>
                </w:tcPr>
                <w:p w14:paraId="1F38341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仿宋_GB2312" w:hAnsi="仿宋_GB2312" w:eastAsia="仿宋_GB2312" w:cs="仿宋_GB2312"/>
                      <w:sz w:val="16"/>
                      <w:szCs w:val="16"/>
                      <w:bdr w:val="none" w:color="auto" w:sz="0" w:space="0"/>
                    </w:rPr>
                    <w:t>60</w:t>
                  </w:r>
                </w:p>
              </w:tc>
              <w:tc>
                <w:tcPr>
                  <w:tcW w:w="3260" w:type="dxa"/>
                  <w:tcBorders>
                    <w:top w:val="nil"/>
                    <w:left w:val="single" w:color="000000" w:sz="4" w:space="0"/>
                    <w:bottom w:val="single" w:color="000000" w:sz="4" w:space="0"/>
                    <w:right w:val="single" w:color="000000" w:sz="4" w:space="0"/>
                  </w:tcBorders>
                  <w:shd w:val="clear"/>
                  <w:tcMar>
                    <w:left w:w="70" w:type="dxa"/>
                    <w:right w:w="70" w:type="dxa"/>
                  </w:tcMar>
                  <w:vAlign w:val="center"/>
                </w:tcPr>
                <w:p w14:paraId="1E443E0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pPr>
                  <w:r>
                    <w:rPr>
                      <w:rFonts w:hint="default" w:ascii="仿宋_GB2312" w:hAnsi="仿宋_GB2312" w:eastAsia="仿宋_GB2312" w:cs="仿宋_GB2312"/>
                      <w:sz w:val="16"/>
                      <w:szCs w:val="16"/>
                      <w:bdr w:val="none" w:color="auto" w:sz="0" w:space="0"/>
                    </w:rPr>
                    <w:t>观点或理念无常识性错误；层次感强，有较好的逻辑性；有一定的见解和较深入的分析。</w:t>
                  </w:r>
                </w:p>
              </w:tc>
            </w:tr>
            <w:tr w14:paraId="40CD839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0" w:type="dxa"/>
                  <w:left w:w="0" w:type="dxa"/>
                  <w:bottom w:w="0" w:type="dxa"/>
                  <w:right w:w="0" w:type="dxa"/>
                </w:tblCellMar>
              </w:tblPrEx>
              <w:trPr>
                <w:trHeight w:val="650" w:hRule="atLeast"/>
              </w:trPr>
              <w:tc>
                <w:tcPr>
                  <w:tcW w:w="640" w:type="dxa"/>
                  <w:vMerge w:val="continue"/>
                  <w:tcBorders>
                    <w:top w:val="nil"/>
                    <w:left w:val="single" w:color="000000" w:sz="4" w:space="0"/>
                    <w:bottom w:val="single" w:color="000000" w:sz="4" w:space="0"/>
                    <w:right w:val="single" w:color="000000" w:sz="4" w:space="0"/>
                  </w:tcBorders>
                  <w:shd w:val="clear"/>
                  <w:tcMar>
                    <w:left w:w="70" w:type="dxa"/>
                    <w:right w:w="70" w:type="dxa"/>
                  </w:tcMar>
                  <w:vAlign w:val="center"/>
                </w:tcPr>
                <w:p w14:paraId="1E2D5489">
                  <w:pPr>
                    <w:rPr>
                      <w:rFonts w:hint="eastAsia" w:ascii="宋体"/>
                      <w:sz w:val="24"/>
                      <w:szCs w:val="24"/>
                    </w:rPr>
                  </w:pPr>
                </w:p>
              </w:tc>
              <w:tc>
                <w:tcPr>
                  <w:tcW w:w="940" w:type="dxa"/>
                  <w:tcBorders>
                    <w:top w:val="nil"/>
                    <w:left w:val="single" w:color="000000" w:sz="4" w:space="0"/>
                    <w:bottom w:val="single" w:color="000000" w:sz="4" w:space="0"/>
                    <w:right w:val="single" w:color="000000" w:sz="4" w:space="0"/>
                  </w:tcBorders>
                  <w:shd w:val="clear"/>
                  <w:tcMar>
                    <w:left w:w="70" w:type="dxa"/>
                    <w:right w:w="70" w:type="dxa"/>
                  </w:tcMar>
                  <w:vAlign w:val="center"/>
                </w:tcPr>
                <w:p w14:paraId="445E812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仿宋_GB2312" w:hAnsi="仿宋_GB2312" w:eastAsia="仿宋_GB2312" w:cs="仿宋_GB2312"/>
                      <w:sz w:val="16"/>
                      <w:szCs w:val="16"/>
                      <w:bdr w:val="none" w:color="auto" w:sz="0" w:space="0"/>
                    </w:rPr>
                    <w:t>心理素质</w:t>
                  </w:r>
                </w:p>
              </w:tc>
              <w:tc>
                <w:tcPr>
                  <w:tcW w:w="750" w:type="dxa"/>
                  <w:tcBorders>
                    <w:top w:val="nil"/>
                    <w:left w:val="single" w:color="000000" w:sz="4" w:space="0"/>
                    <w:bottom w:val="single" w:color="000000" w:sz="4" w:space="0"/>
                    <w:right w:val="single" w:color="000000" w:sz="4" w:space="0"/>
                  </w:tcBorders>
                  <w:shd w:val="clear"/>
                  <w:tcMar>
                    <w:left w:w="70" w:type="dxa"/>
                    <w:right w:w="70" w:type="dxa"/>
                  </w:tcMar>
                  <w:vAlign w:val="center"/>
                </w:tcPr>
                <w:p w14:paraId="54033FD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仿宋_GB2312" w:hAnsi="仿宋_GB2312" w:eastAsia="仿宋_GB2312" w:cs="仿宋_GB2312"/>
                      <w:sz w:val="16"/>
                      <w:szCs w:val="16"/>
                      <w:bdr w:val="none" w:color="auto" w:sz="0" w:space="0"/>
                    </w:rPr>
                    <w:t>20</w:t>
                  </w:r>
                </w:p>
              </w:tc>
              <w:tc>
                <w:tcPr>
                  <w:tcW w:w="3260" w:type="dxa"/>
                  <w:tcBorders>
                    <w:top w:val="nil"/>
                    <w:left w:val="single" w:color="000000" w:sz="4" w:space="0"/>
                    <w:bottom w:val="single" w:color="000000" w:sz="4" w:space="0"/>
                    <w:right w:val="single" w:color="000000" w:sz="4" w:space="0"/>
                  </w:tcBorders>
                  <w:shd w:val="clear"/>
                  <w:tcMar>
                    <w:left w:w="70" w:type="dxa"/>
                    <w:right w:w="70" w:type="dxa"/>
                  </w:tcMar>
                  <w:vAlign w:val="center"/>
                </w:tcPr>
                <w:p w14:paraId="7BD4205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pPr>
                  <w:r>
                    <w:rPr>
                      <w:rFonts w:hint="default" w:ascii="仿宋_GB2312" w:hAnsi="仿宋_GB2312" w:eastAsia="仿宋_GB2312" w:cs="仿宋_GB2312"/>
                      <w:sz w:val="16"/>
                      <w:szCs w:val="16"/>
                      <w:bdr w:val="none" w:color="auto" w:sz="0" w:space="0"/>
                    </w:rPr>
                    <w:t>积极乐观，充满自信；能冷静和客观地分析问题、处理问题，具有较好的情绪调节和自控能力。</w:t>
                  </w:r>
                </w:p>
              </w:tc>
            </w:tr>
            <w:tr w14:paraId="6816D4C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0" w:type="dxa"/>
                  <w:left w:w="0" w:type="dxa"/>
                  <w:bottom w:w="0" w:type="dxa"/>
                  <w:right w:w="0" w:type="dxa"/>
                </w:tblCellMar>
              </w:tblPrEx>
              <w:trPr>
                <w:trHeight w:val="550" w:hRule="atLeast"/>
              </w:trPr>
              <w:tc>
                <w:tcPr>
                  <w:tcW w:w="640" w:type="dxa"/>
                  <w:vMerge w:val="continue"/>
                  <w:tcBorders>
                    <w:top w:val="nil"/>
                    <w:left w:val="single" w:color="000000" w:sz="4" w:space="0"/>
                    <w:bottom w:val="single" w:color="000000" w:sz="4" w:space="0"/>
                    <w:right w:val="single" w:color="000000" w:sz="4" w:space="0"/>
                  </w:tcBorders>
                  <w:shd w:val="clear"/>
                  <w:tcMar>
                    <w:left w:w="70" w:type="dxa"/>
                    <w:right w:w="70" w:type="dxa"/>
                  </w:tcMar>
                  <w:vAlign w:val="center"/>
                </w:tcPr>
                <w:p w14:paraId="3A74F9AE">
                  <w:pPr>
                    <w:rPr>
                      <w:rFonts w:hint="eastAsia" w:ascii="宋体"/>
                      <w:sz w:val="24"/>
                      <w:szCs w:val="24"/>
                    </w:rPr>
                  </w:pPr>
                </w:p>
              </w:tc>
              <w:tc>
                <w:tcPr>
                  <w:tcW w:w="940" w:type="dxa"/>
                  <w:tcBorders>
                    <w:top w:val="nil"/>
                    <w:left w:val="single" w:color="000000" w:sz="4" w:space="0"/>
                    <w:bottom w:val="single" w:color="000000" w:sz="4" w:space="0"/>
                    <w:right w:val="single" w:color="000000" w:sz="4" w:space="0"/>
                  </w:tcBorders>
                  <w:shd w:val="clear"/>
                  <w:tcMar>
                    <w:left w:w="70" w:type="dxa"/>
                    <w:right w:w="70" w:type="dxa"/>
                  </w:tcMar>
                  <w:vAlign w:val="center"/>
                </w:tcPr>
                <w:p w14:paraId="18B30FC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仿宋_GB2312" w:hAnsi="仿宋_GB2312" w:eastAsia="仿宋_GB2312" w:cs="仿宋_GB2312"/>
                      <w:sz w:val="16"/>
                      <w:szCs w:val="16"/>
                      <w:bdr w:val="none" w:color="auto" w:sz="0" w:space="0"/>
                    </w:rPr>
                    <w:t>语言表达</w:t>
                  </w:r>
                </w:p>
              </w:tc>
              <w:tc>
                <w:tcPr>
                  <w:tcW w:w="750" w:type="dxa"/>
                  <w:tcBorders>
                    <w:top w:val="nil"/>
                    <w:left w:val="single" w:color="000000" w:sz="4" w:space="0"/>
                    <w:bottom w:val="single" w:color="000000" w:sz="4" w:space="0"/>
                    <w:right w:val="single" w:color="000000" w:sz="4" w:space="0"/>
                  </w:tcBorders>
                  <w:shd w:val="clear"/>
                  <w:tcMar>
                    <w:left w:w="70" w:type="dxa"/>
                    <w:right w:w="70" w:type="dxa"/>
                  </w:tcMar>
                  <w:vAlign w:val="center"/>
                </w:tcPr>
                <w:p w14:paraId="019205C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仿宋_GB2312" w:hAnsi="仿宋_GB2312" w:eastAsia="仿宋_GB2312" w:cs="仿宋_GB2312"/>
                      <w:sz w:val="16"/>
                      <w:szCs w:val="16"/>
                      <w:bdr w:val="none" w:color="auto" w:sz="0" w:space="0"/>
                    </w:rPr>
                    <w:t>10</w:t>
                  </w:r>
                </w:p>
              </w:tc>
              <w:tc>
                <w:tcPr>
                  <w:tcW w:w="3260" w:type="dxa"/>
                  <w:tcBorders>
                    <w:top w:val="nil"/>
                    <w:left w:val="single" w:color="000000" w:sz="4" w:space="0"/>
                    <w:bottom w:val="single" w:color="000000" w:sz="4" w:space="0"/>
                    <w:right w:val="single" w:color="000000" w:sz="4" w:space="0"/>
                  </w:tcBorders>
                  <w:shd w:val="clear"/>
                  <w:tcMar>
                    <w:left w:w="70" w:type="dxa"/>
                    <w:right w:w="70" w:type="dxa"/>
                  </w:tcMar>
                  <w:vAlign w:val="center"/>
                </w:tcPr>
                <w:p w14:paraId="5D1A8E9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pPr>
                  <w:r>
                    <w:rPr>
                      <w:rFonts w:hint="default" w:ascii="仿宋_GB2312" w:hAnsi="仿宋_GB2312" w:eastAsia="仿宋_GB2312" w:cs="仿宋_GB2312"/>
                      <w:sz w:val="16"/>
                      <w:szCs w:val="16"/>
                      <w:bdr w:val="none" w:color="auto" w:sz="0" w:space="0"/>
                    </w:rPr>
                    <w:t>语速适中，口齿清晰，思维灵活，条理清晰，能够较准确地表达自己的观点。</w:t>
                  </w:r>
                </w:p>
              </w:tc>
            </w:tr>
            <w:tr w14:paraId="4C4F050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10" w:hRule="atLeast"/>
              </w:trPr>
              <w:tc>
                <w:tcPr>
                  <w:tcW w:w="640" w:type="dxa"/>
                  <w:vMerge w:val="continue"/>
                  <w:tcBorders>
                    <w:top w:val="nil"/>
                    <w:left w:val="single" w:color="000000" w:sz="4" w:space="0"/>
                    <w:bottom w:val="single" w:color="000000" w:sz="4" w:space="0"/>
                    <w:right w:val="single" w:color="000000" w:sz="4" w:space="0"/>
                  </w:tcBorders>
                  <w:shd w:val="clear"/>
                  <w:tcMar>
                    <w:left w:w="70" w:type="dxa"/>
                    <w:right w:w="70" w:type="dxa"/>
                  </w:tcMar>
                  <w:vAlign w:val="center"/>
                </w:tcPr>
                <w:p w14:paraId="0F915911">
                  <w:pPr>
                    <w:rPr>
                      <w:rFonts w:hint="eastAsia" w:ascii="宋体"/>
                      <w:sz w:val="24"/>
                      <w:szCs w:val="24"/>
                    </w:rPr>
                  </w:pPr>
                </w:p>
              </w:tc>
              <w:tc>
                <w:tcPr>
                  <w:tcW w:w="940" w:type="dxa"/>
                  <w:tcBorders>
                    <w:top w:val="nil"/>
                    <w:left w:val="single" w:color="000000" w:sz="4" w:space="0"/>
                    <w:bottom w:val="single" w:color="000000" w:sz="4" w:space="0"/>
                    <w:right w:val="single" w:color="000000" w:sz="4" w:space="0"/>
                  </w:tcBorders>
                  <w:shd w:val="clear"/>
                  <w:tcMar>
                    <w:left w:w="70" w:type="dxa"/>
                    <w:right w:w="70" w:type="dxa"/>
                  </w:tcMar>
                  <w:vAlign w:val="center"/>
                </w:tcPr>
                <w:p w14:paraId="6B492A3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仿宋_GB2312" w:hAnsi="仿宋_GB2312" w:eastAsia="仿宋_GB2312" w:cs="仿宋_GB2312"/>
                      <w:sz w:val="16"/>
                      <w:szCs w:val="16"/>
                      <w:bdr w:val="none" w:color="auto" w:sz="0" w:space="0"/>
                    </w:rPr>
                    <w:t>仪表仪态</w:t>
                  </w:r>
                </w:p>
              </w:tc>
              <w:tc>
                <w:tcPr>
                  <w:tcW w:w="750" w:type="dxa"/>
                  <w:tcBorders>
                    <w:top w:val="nil"/>
                    <w:left w:val="single" w:color="000000" w:sz="4" w:space="0"/>
                    <w:bottom w:val="single" w:color="000000" w:sz="4" w:space="0"/>
                    <w:right w:val="single" w:color="000000" w:sz="4" w:space="0"/>
                  </w:tcBorders>
                  <w:shd w:val="clear"/>
                  <w:tcMar>
                    <w:left w:w="70" w:type="dxa"/>
                    <w:right w:w="70" w:type="dxa"/>
                  </w:tcMar>
                  <w:vAlign w:val="center"/>
                </w:tcPr>
                <w:p w14:paraId="3B89416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仿宋_GB2312" w:hAnsi="仿宋_GB2312" w:eastAsia="仿宋_GB2312" w:cs="仿宋_GB2312"/>
                      <w:sz w:val="16"/>
                      <w:szCs w:val="16"/>
                      <w:bdr w:val="none" w:color="auto" w:sz="0" w:space="0"/>
                    </w:rPr>
                    <w:t>10</w:t>
                  </w:r>
                </w:p>
              </w:tc>
              <w:tc>
                <w:tcPr>
                  <w:tcW w:w="3260" w:type="dxa"/>
                  <w:tcBorders>
                    <w:top w:val="nil"/>
                    <w:left w:val="single" w:color="000000" w:sz="4" w:space="0"/>
                    <w:bottom w:val="single" w:color="000000" w:sz="4" w:space="0"/>
                    <w:right w:val="single" w:color="000000" w:sz="4" w:space="0"/>
                  </w:tcBorders>
                  <w:shd w:val="clear"/>
                  <w:tcMar>
                    <w:left w:w="70" w:type="dxa"/>
                    <w:right w:w="70" w:type="dxa"/>
                  </w:tcMar>
                  <w:vAlign w:val="center"/>
                </w:tcPr>
                <w:p w14:paraId="5EA004C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pPr>
                  <w:r>
                    <w:rPr>
                      <w:rFonts w:hint="default" w:ascii="仿宋_GB2312" w:hAnsi="仿宋_GB2312" w:eastAsia="仿宋_GB2312" w:cs="仿宋_GB2312"/>
                      <w:sz w:val="16"/>
                      <w:szCs w:val="16"/>
                      <w:bdr w:val="none" w:color="auto" w:sz="0" w:space="0"/>
                    </w:rPr>
                    <w:t>仪态得体大方，肢体表达得当。</w:t>
                  </w:r>
                </w:p>
              </w:tc>
            </w:tr>
          </w:tbl>
          <w:p w14:paraId="204F2C0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firstLine="430"/>
            </w:pPr>
            <w:r>
              <w:rPr>
                <w:rStyle w:val="5"/>
                <w:rFonts w:hint="default" w:ascii="仿宋_GB2312" w:hAnsi="仿宋_GB2312" w:eastAsia="仿宋_GB2312" w:cs="仿宋_GB2312"/>
                <w:b w:val="0"/>
                <w:bCs w:val="0"/>
                <w:i w:val="0"/>
                <w:iCs w:val="0"/>
                <w:caps w:val="0"/>
                <w:spacing w:val="0"/>
                <w:sz w:val="21"/>
                <w:szCs w:val="21"/>
                <w:bdr w:val="none" w:color="auto" w:sz="0" w:space="0"/>
              </w:rPr>
              <w:t>（三）成绩处理</w:t>
            </w:r>
          </w:p>
          <w:p w14:paraId="14C8909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firstLine="430"/>
            </w:pPr>
            <w:r>
              <w:rPr>
                <w:rFonts w:hint="default" w:ascii="仿宋_GB2312" w:hAnsi="仿宋_GB2312" w:eastAsia="仿宋_GB2312" w:cs="仿宋_GB2312"/>
                <w:caps w:val="0"/>
                <w:spacing w:val="0"/>
                <w:sz w:val="21"/>
                <w:szCs w:val="21"/>
                <w:bdr w:val="none" w:color="auto" w:sz="0" w:space="0"/>
              </w:rPr>
              <w:t>报学校学校专升本工作领导小组审核考生综合评价结果，公示考生成绩，上报江西省教育考试院。</w:t>
            </w:r>
          </w:p>
          <w:p w14:paraId="7D2F28E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firstLine="430"/>
            </w:pPr>
            <w:r>
              <w:rPr>
                <w:rFonts w:hint="eastAsia" w:ascii="黑体" w:hAnsi="宋体" w:eastAsia="黑体" w:cs="黑体"/>
                <w:caps w:val="0"/>
                <w:spacing w:val="0"/>
                <w:sz w:val="21"/>
                <w:szCs w:val="21"/>
                <w:bdr w:val="none" w:color="auto" w:sz="0" w:space="0"/>
              </w:rPr>
              <w:t>六、录取办法</w:t>
            </w:r>
          </w:p>
          <w:p w14:paraId="4B67DF5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firstLine="430"/>
            </w:pPr>
            <w:r>
              <w:rPr>
                <w:rStyle w:val="5"/>
                <w:rFonts w:hint="default" w:ascii="仿宋_GB2312" w:hAnsi="仿宋_GB2312" w:eastAsia="仿宋_GB2312" w:cs="仿宋_GB2312"/>
                <w:b w:val="0"/>
                <w:bCs w:val="0"/>
                <w:i w:val="0"/>
                <w:iCs w:val="0"/>
                <w:caps w:val="0"/>
                <w:spacing w:val="0"/>
                <w:sz w:val="21"/>
                <w:szCs w:val="21"/>
                <w:bdr w:val="none" w:color="auto" w:sz="0" w:space="0"/>
              </w:rPr>
              <w:t>（一）录取原则</w:t>
            </w:r>
          </w:p>
          <w:p w14:paraId="242F9D4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firstLine="430"/>
            </w:pPr>
            <w:r>
              <w:rPr>
                <w:rFonts w:hint="default" w:ascii="仿宋_GB2312" w:hAnsi="仿宋_GB2312" w:eastAsia="仿宋_GB2312" w:cs="仿宋_GB2312"/>
                <w:caps w:val="0"/>
                <w:spacing w:val="0"/>
                <w:sz w:val="21"/>
                <w:szCs w:val="21"/>
                <w:bdr w:val="none" w:color="auto" w:sz="0" w:space="0"/>
              </w:rPr>
              <w:t>根据考生报考专业，按考生职业技能综合面试成绩从高到低排序；考生职业技能综合面试得分相同时，依次按考生开放性问答、心理素质、语言表达、仪表仪态从高到低排序。</w:t>
            </w:r>
          </w:p>
          <w:p w14:paraId="038BBE2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firstLine="430"/>
            </w:pPr>
            <w:r>
              <w:rPr>
                <w:rStyle w:val="5"/>
                <w:rFonts w:hint="default" w:ascii="仿宋_GB2312" w:hAnsi="仿宋_GB2312" w:eastAsia="仿宋_GB2312" w:cs="仿宋_GB2312"/>
                <w:b w:val="0"/>
                <w:bCs w:val="0"/>
                <w:i w:val="0"/>
                <w:iCs w:val="0"/>
                <w:caps w:val="0"/>
                <w:spacing w:val="0"/>
                <w:sz w:val="21"/>
                <w:szCs w:val="21"/>
                <w:bdr w:val="none" w:color="auto" w:sz="0" w:space="0"/>
              </w:rPr>
              <w:t>（二）录取流程</w:t>
            </w:r>
          </w:p>
          <w:p w14:paraId="091D723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firstLine="430"/>
            </w:pPr>
            <w:r>
              <w:rPr>
                <w:rFonts w:hint="default" w:ascii="仿宋_GB2312" w:hAnsi="仿宋_GB2312" w:eastAsia="仿宋_GB2312" w:cs="仿宋_GB2312"/>
                <w:caps w:val="0"/>
                <w:spacing w:val="0"/>
                <w:sz w:val="21"/>
                <w:szCs w:val="21"/>
                <w:bdr w:val="none" w:color="auto" w:sz="0" w:space="0"/>
              </w:rPr>
              <w:t>考生须在规定时间内（省考试院另行通知）登录江西省教育考试院网（网址：www.jxeea.cn）“专升本志愿填报系统”，根据《南昌工程学院2025年专升本考试退役大学生士兵免试考查录取办法》中明确的招生计划、专业及有关要求，选择报考志愿。原则上考生依据高职（专科）所学专业，选报对应本科专业。学校根据免试招生计划数，按照录取原则择优录取。</w:t>
            </w:r>
          </w:p>
          <w:p w14:paraId="6D440FC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firstLine="430"/>
            </w:pPr>
            <w:r>
              <w:rPr>
                <w:rFonts w:hint="default" w:ascii="仿宋_GB2312" w:hAnsi="仿宋_GB2312" w:eastAsia="仿宋_GB2312" w:cs="仿宋_GB2312"/>
                <w:caps w:val="0"/>
                <w:spacing w:val="0"/>
                <w:sz w:val="21"/>
                <w:szCs w:val="21"/>
                <w:bdr w:val="none" w:color="auto" w:sz="0" w:space="0"/>
              </w:rPr>
              <w:t>退役大学生士兵按照志愿被免试录取后不再具有参加统一考试及录取资格。凡符合录取条件的考生，不允许以自行放弃为由退档。未能被免试录取的退役大学生士兵可以参加统一考试，按所报志愿参加统一录取。专升本录取后未报到、自行放弃入学资格的退役大学生士兵，不再享受免试专升本政策。</w:t>
            </w:r>
          </w:p>
          <w:p w14:paraId="256F4FD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firstLine="430"/>
            </w:pPr>
            <w:r>
              <w:rPr>
                <w:rFonts w:hint="eastAsia" w:ascii="黑体" w:hAnsi="宋体" w:eastAsia="黑体" w:cs="黑体"/>
                <w:caps w:val="0"/>
                <w:spacing w:val="0"/>
                <w:sz w:val="21"/>
                <w:szCs w:val="21"/>
                <w:bdr w:val="none" w:color="auto" w:sz="0" w:space="0"/>
              </w:rPr>
              <w:t>七、学籍与编班</w:t>
            </w:r>
          </w:p>
          <w:p w14:paraId="46B1809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firstLine="430"/>
            </w:pPr>
            <w:r>
              <w:rPr>
                <w:rFonts w:hint="default" w:ascii="仿宋_GB2312" w:hAnsi="仿宋_GB2312" w:eastAsia="仿宋_GB2312" w:cs="仿宋_GB2312"/>
                <w:caps w:val="0"/>
                <w:spacing w:val="0"/>
                <w:sz w:val="21"/>
                <w:szCs w:val="21"/>
                <w:bdr w:val="none" w:color="auto" w:sz="0" w:space="0"/>
              </w:rPr>
              <w:t>所有被正式录取的考生必须凭专科毕业证书和录取通知书到相关学校报到，经体检合格后正式取得学籍，单独编班或编入所报考专业本科三年级班级学习。</w:t>
            </w:r>
          </w:p>
          <w:p w14:paraId="469F82B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firstLine="430"/>
            </w:pPr>
            <w:r>
              <w:rPr>
                <w:rFonts w:hint="eastAsia" w:ascii="黑体" w:hAnsi="宋体" w:eastAsia="黑体" w:cs="黑体"/>
                <w:caps w:val="0"/>
                <w:spacing w:val="0"/>
                <w:sz w:val="21"/>
                <w:szCs w:val="21"/>
                <w:bdr w:val="none" w:color="auto" w:sz="0" w:space="0"/>
              </w:rPr>
              <w:t>八、毕业证书和待遇</w:t>
            </w:r>
          </w:p>
          <w:p w14:paraId="723E707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firstLine="430"/>
            </w:pPr>
            <w:r>
              <w:rPr>
                <w:rFonts w:hint="default" w:ascii="仿宋_GB2312" w:hAnsi="仿宋_GB2312" w:eastAsia="仿宋_GB2312" w:cs="仿宋_GB2312"/>
                <w:caps w:val="0"/>
                <w:spacing w:val="0"/>
                <w:sz w:val="21"/>
                <w:szCs w:val="21"/>
                <w:bdr w:val="none" w:color="auto" w:sz="0" w:space="0"/>
              </w:rPr>
              <w:t>符合专升本（联合培养）录取条件的学生，由南昌工程学院报省级教育行政部门审核后，在学籍学历信息管理平台注册学籍。专升本（联合培养）学生毕业时，其毕业证书上标注“在南昌工程学院****专业专科起点本科学习”，学习时间按进入本科阶段学习和颁发毕业证实际时间填写。</w:t>
            </w:r>
          </w:p>
          <w:p w14:paraId="663F7C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pPr>
            <w:r>
              <w:rPr>
                <w:rFonts w:hint="default" w:ascii="仿宋_GB2312" w:hAnsi="仿宋_GB2312" w:eastAsia="仿宋_GB2312" w:cs="仿宋_GB2312"/>
                <w:caps w:val="0"/>
                <w:spacing w:val="0"/>
                <w:sz w:val="21"/>
                <w:szCs w:val="21"/>
                <w:bdr w:val="none" w:color="auto" w:sz="0" w:space="0"/>
                <w:shd w:val="clear" w:fill="FFFFFF"/>
              </w:rPr>
              <w:t>专升本联合培养学生在奖学金评审、家庭经济困难学生资助、就业创业帮扶指导、助学贷款、党员发展、毕业待遇等方面，与南昌工程学院学生享受同等待遇。</w:t>
            </w:r>
          </w:p>
          <w:p w14:paraId="6DA39DF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firstLine="430"/>
            </w:pPr>
            <w:r>
              <w:rPr>
                <w:rFonts w:hint="eastAsia" w:ascii="黑体" w:hAnsi="宋体" w:eastAsia="黑体" w:cs="黑体"/>
                <w:caps w:val="0"/>
                <w:spacing w:val="0"/>
                <w:sz w:val="21"/>
                <w:szCs w:val="21"/>
                <w:bdr w:val="none" w:color="auto" w:sz="0" w:space="0"/>
              </w:rPr>
              <w:t>九、结果查询、申诉及联系方式</w:t>
            </w:r>
          </w:p>
          <w:p w14:paraId="51B8581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firstLine="430"/>
            </w:pPr>
            <w:r>
              <w:rPr>
                <w:rFonts w:hint="default" w:ascii="仿宋_GB2312" w:hAnsi="仿宋_GB2312" w:eastAsia="仿宋_GB2312" w:cs="仿宋_GB2312"/>
                <w:caps w:val="0"/>
                <w:spacing w:val="0"/>
                <w:sz w:val="21"/>
                <w:szCs w:val="21"/>
                <w:bdr w:val="none" w:color="auto" w:sz="0" w:space="0"/>
              </w:rPr>
              <w:t>1.综合评价结果查询：南昌工程学院教务处网址https://jw.nit.edu.cn/；</w:t>
            </w:r>
          </w:p>
          <w:p w14:paraId="45F08C2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firstLine="430"/>
            </w:pPr>
            <w:r>
              <w:rPr>
                <w:rFonts w:hint="default" w:ascii="仿宋_GB2312" w:hAnsi="仿宋_GB2312" w:eastAsia="仿宋_GB2312" w:cs="仿宋_GB2312"/>
                <w:caps w:val="0"/>
                <w:spacing w:val="0"/>
                <w:sz w:val="21"/>
                <w:szCs w:val="21"/>
                <w:bdr w:val="none" w:color="auto" w:sz="0" w:space="0"/>
              </w:rPr>
              <w:t>2.申诉及联系方式：考生如对我校2025年专升本考试退役士兵免试录取招生有异议，可以书面形式具名进行申诉，申诉联系方式：</w:t>
            </w:r>
          </w:p>
          <w:p w14:paraId="1209687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firstLine="430"/>
            </w:pPr>
            <w:r>
              <w:rPr>
                <w:rFonts w:hint="default" w:ascii="仿宋_GB2312" w:hAnsi="仿宋_GB2312" w:eastAsia="仿宋_GB2312" w:cs="仿宋_GB2312"/>
                <w:caps w:val="0"/>
                <w:spacing w:val="0"/>
                <w:sz w:val="21"/>
                <w:szCs w:val="21"/>
                <w:bdr w:val="none" w:color="auto" w:sz="0" w:space="0"/>
              </w:rPr>
              <w:t>邮寄地址：江西省南昌市高新区天祥大道289号南昌工程学院教务处</w:t>
            </w:r>
          </w:p>
          <w:p w14:paraId="7BFB8C7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firstLine="430"/>
            </w:pPr>
            <w:r>
              <w:rPr>
                <w:rFonts w:hint="default" w:ascii="仿宋_GB2312" w:hAnsi="仿宋_GB2312" w:eastAsia="仿宋_GB2312" w:cs="仿宋_GB2312"/>
                <w:caps w:val="0"/>
                <w:spacing w:val="0"/>
                <w:sz w:val="21"/>
                <w:szCs w:val="21"/>
                <w:bdr w:val="none" w:color="auto" w:sz="0" w:space="0"/>
              </w:rPr>
              <w:t>邮政编码：330099</w:t>
            </w:r>
          </w:p>
          <w:p w14:paraId="4DB08D1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firstLine="430"/>
            </w:pPr>
            <w:r>
              <w:rPr>
                <w:rFonts w:hint="default" w:ascii="仿宋_GB2312" w:hAnsi="仿宋_GB2312" w:eastAsia="仿宋_GB2312" w:cs="仿宋_GB2312"/>
                <w:caps w:val="0"/>
                <w:spacing w:val="0"/>
                <w:sz w:val="21"/>
                <w:szCs w:val="21"/>
                <w:bdr w:val="none" w:color="auto" w:sz="0" w:space="0"/>
              </w:rPr>
              <w:t>联系电话：0791-88127325</w:t>
            </w:r>
          </w:p>
          <w:p w14:paraId="338F753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firstLine="430"/>
            </w:pPr>
            <w:r>
              <w:rPr>
                <w:rFonts w:hint="default" w:ascii="仿宋_GB2312" w:hAnsi="仿宋_GB2312" w:eastAsia="仿宋_GB2312" w:cs="仿宋_GB2312"/>
                <w:caps w:val="0"/>
                <w:spacing w:val="0"/>
                <w:sz w:val="21"/>
                <w:szCs w:val="21"/>
                <w:bdr w:val="none" w:color="auto" w:sz="0" w:space="0"/>
              </w:rPr>
              <w:t>电子邮箱：20020301@nit.edu.cn</w:t>
            </w:r>
          </w:p>
          <w:p w14:paraId="3EE22DD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firstLine="430"/>
            </w:pPr>
            <w:r>
              <w:rPr>
                <w:rFonts w:hint="default" w:ascii="仿宋_GB2312" w:hAnsi="仿宋_GB2312" w:eastAsia="仿宋_GB2312" w:cs="仿宋_GB2312"/>
                <w:caps w:val="0"/>
                <w:spacing w:val="0"/>
                <w:sz w:val="21"/>
                <w:szCs w:val="21"/>
                <w:bdr w:val="none" w:color="auto" w:sz="0" w:space="0"/>
              </w:rPr>
              <w:t>附件：南昌工程学院2025年退役大学生士兵专升本免试考查报名表</w:t>
            </w:r>
          </w:p>
          <w:p w14:paraId="1B7A25F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firstLine="430"/>
            </w:pPr>
          </w:p>
          <w:p w14:paraId="06E5465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jc w:val="right"/>
            </w:pPr>
            <w:r>
              <w:rPr>
                <w:rFonts w:hint="default" w:ascii="仿宋_GB2312" w:hAnsi="仿宋_GB2312" w:eastAsia="仿宋_GB2312" w:cs="仿宋_GB2312"/>
                <w:caps w:val="0"/>
                <w:spacing w:val="0"/>
                <w:sz w:val="21"/>
                <w:szCs w:val="21"/>
                <w:bdr w:val="none" w:color="auto" w:sz="0" w:space="0"/>
              </w:rPr>
              <w:t>南昌工程学院</w:t>
            </w:r>
          </w:p>
          <w:p w14:paraId="7D99386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jc w:val="right"/>
            </w:pPr>
            <w:r>
              <w:rPr>
                <w:rFonts w:hint="default" w:ascii="仿宋_GB2312" w:hAnsi="仿宋_GB2312" w:eastAsia="仿宋_GB2312" w:cs="仿宋_GB2312"/>
                <w:caps w:val="0"/>
                <w:spacing w:val="0"/>
                <w:sz w:val="21"/>
                <w:szCs w:val="21"/>
                <w:bdr w:val="none" w:color="auto" w:sz="0" w:space="0"/>
              </w:rPr>
              <w:t>2025年1月25日</w:t>
            </w:r>
          </w:p>
        </w:tc>
      </w:tr>
    </w:tbl>
    <w:p w14:paraId="753C156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A5E1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2025-02-17T02:48:39Z</dcterms:created>
  <dc:creator>DELL</dc:creator>
  <cp:lastModifiedBy>长乐</cp:lastModifiedBy>
  <dcterms:modified xsi:type="dcterms:W3CDTF">2025-02-17T02:48:41Z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eyJoZGlkIjoiYWJmNTAxYTA0NTllZTU0OWY5NWY0MWNlMzBjNGU2OTYiLCJ1c2VySWQiOiIxNjc0NTY2MTcwIn0=</vt:lpwstr>
  </property>
  <property fmtid="{D5CDD505-2E9C-101B-9397-08002B2CF9AE}" pid="4" name="ICV">
    <vt:lpwstr>7E9ECF42115C4362A56C89139453A694_12</vt:lpwstr>
  </property>
</Properties>
</file>