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C35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b/>
          <w:bCs/>
          <w:i w:val="0"/>
          <w:iCs w:val="0"/>
          <w:caps w:val="0"/>
          <w:color w:val="6C480D"/>
          <w:spacing w:val="0"/>
          <w:sz w:val="30"/>
          <w:szCs w:val="30"/>
        </w:rPr>
      </w:pPr>
      <w:r>
        <w:rPr>
          <w:rFonts w:hint="eastAsia" w:ascii="微软雅黑" w:hAnsi="微软雅黑" w:eastAsia="微软雅黑" w:cs="微软雅黑"/>
          <w:b/>
          <w:bCs/>
          <w:i w:val="0"/>
          <w:iCs w:val="0"/>
          <w:caps w:val="0"/>
          <w:color w:val="6C480D"/>
          <w:spacing w:val="0"/>
          <w:sz w:val="30"/>
          <w:szCs w:val="30"/>
          <w:bdr w:val="none" w:color="auto" w:sz="0" w:space="0"/>
          <w:shd w:val="clear" w:fill="FFFFFF"/>
        </w:rPr>
        <w:t>景德镇学院2025年退役大学生士兵专升本免试招生简章</w:t>
      </w:r>
    </w:p>
    <w:p w14:paraId="19D40E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bCs w:val="0"/>
          <w:i w:val="0"/>
          <w:iCs w:val="0"/>
          <w:caps w:val="0"/>
          <w:color w:val="6C480D"/>
          <w:spacing w:val="0"/>
          <w:sz w:val="14"/>
          <w:szCs w:val="14"/>
        </w:rPr>
      </w:pPr>
      <w:r>
        <w:rPr>
          <w:rFonts w:hint="eastAsia" w:ascii="微软雅黑" w:hAnsi="微软雅黑" w:eastAsia="微软雅黑" w:cs="微软雅黑"/>
          <w:b w:val="0"/>
          <w:bCs w:val="0"/>
          <w:i w:val="0"/>
          <w:iCs w:val="0"/>
          <w:caps w:val="0"/>
          <w:color w:val="6C480D"/>
          <w:spacing w:val="0"/>
          <w:sz w:val="14"/>
          <w:szCs w:val="14"/>
          <w:bdr w:val="none" w:color="auto" w:sz="0" w:space="0"/>
          <w:shd w:val="clear" w:fill="FFFFFF"/>
        </w:rPr>
        <w:t>来源： 作者： 发布时间：2025-01-27 11:12:09 浏览人数：39683967次</w:t>
      </w:r>
    </w:p>
    <w:p w14:paraId="12A76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微软雅黑" w:hAnsi="微软雅黑" w:eastAsia="微软雅黑" w:cs="微软雅黑"/>
          <w:i w:val="0"/>
          <w:iCs w:val="0"/>
          <w:caps w:val="0"/>
          <w:color w:val="6C480D"/>
          <w:spacing w:val="0"/>
          <w:sz w:val="14"/>
          <w:szCs w:val="14"/>
          <w:bdr w:val="none" w:color="auto" w:sz="0" w:space="0"/>
          <w:shd w:val="clear" w:fill="FFFFFF"/>
        </w:rPr>
        <w:t>​​​​​​        根</w:t>
      </w:r>
      <w:r>
        <w:rPr>
          <w:rFonts w:ascii="仿宋" w:hAnsi="仿宋" w:eastAsia="仿宋" w:cs="仿宋"/>
          <w:i w:val="0"/>
          <w:iCs w:val="0"/>
          <w:caps w:val="0"/>
          <w:color w:val="6C480D"/>
          <w:spacing w:val="0"/>
          <w:sz w:val="19"/>
          <w:szCs w:val="19"/>
          <w:bdr w:val="none" w:color="auto" w:sz="0" w:space="0"/>
          <w:shd w:val="clear" w:fill="FFFFFF"/>
        </w:rPr>
        <w:t>据《</w:t>
      </w:r>
      <w:r>
        <w:rPr>
          <w:rFonts w:hint="eastAsia" w:ascii="仿宋" w:hAnsi="仿宋" w:eastAsia="仿宋" w:cs="仿宋"/>
          <w:i w:val="0"/>
          <w:iCs w:val="0"/>
          <w:caps w:val="0"/>
          <w:color w:val="6C480D"/>
          <w:spacing w:val="0"/>
          <w:sz w:val="19"/>
          <w:szCs w:val="19"/>
          <w:bdr w:val="none" w:color="auto" w:sz="0" w:space="0"/>
          <w:shd w:val="clear" w:fill="FFFFFF"/>
        </w:rPr>
        <w:t>江西省2025年普通高校专升本考试招生实施方案》《关于做好江西省2025年普通高校专升本考试招生报名工作的通知》等相关规定，结合我校实际，制定本简章。</w:t>
      </w:r>
    </w:p>
    <w:p w14:paraId="2D9918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ascii="黑体" w:hAnsi="宋体" w:eastAsia="黑体" w:cs="黑体"/>
          <w:i w:val="0"/>
          <w:iCs w:val="0"/>
          <w:caps w:val="0"/>
          <w:color w:val="6C480D"/>
          <w:spacing w:val="0"/>
          <w:sz w:val="19"/>
          <w:szCs w:val="19"/>
          <w:bdr w:val="none" w:color="auto" w:sz="0" w:space="0"/>
          <w:shd w:val="clear" w:fill="FFFFFF"/>
        </w:rPr>
        <w:t>一、</w:t>
      </w:r>
      <w:r>
        <w:rPr>
          <w:rFonts w:hint="eastAsia" w:ascii="黑体" w:hAnsi="宋体" w:eastAsia="黑体" w:cs="黑体"/>
          <w:i w:val="0"/>
          <w:iCs w:val="0"/>
          <w:caps w:val="0"/>
          <w:color w:val="6C480D"/>
          <w:spacing w:val="0"/>
          <w:sz w:val="19"/>
          <w:szCs w:val="19"/>
          <w:bdr w:val="none" w:color="auto" w:sz="0" w:space="0"/>
          <w:shd w:val="clear" w:fill="FFFFFF"/>
        </w:rPr>
        <w:t>招生专业及计划</w:t>
      </w:r>
    </w:p>
    <w:tbl>
      <w:tblPr>
        <w:tblW w:w="65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83"/>
        <w:gridCol w:w="2078"/>
        <w:gridCol w:w="2290"/>
        <w:gridCol w:w="1559"/>
      </w:tblGrid>
      <w:tr w14:paraId="63E46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550"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42958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Style w:val="5"/>
                <w:rFonts w:hint="eastAsia" w:ascii="仿宋" w:hAnsi="仿宋" w:eastAsia="仿宋" w:cs="仿宋"/>
                <w:i w:val="0"/>
                <w:iCs w:val="0"/>
                <w:caps w:val="0"/>
                <w:color w:val="6C480D"/>
                <w:spacing w:val="0"/>
                <w:sz w:val="16"/>
                <w:szCs w:val="16"/>
                <w:bdr w:val="none" w:color="auto" w:sz="0" w:space="0"/>
              </w:rPr>
              <w:t>序号</w:t>
            </w:r>
          </w:p>
        </w:tc>
        <w:tc>
          <w:tcPr>
            <w:tcW w:w="1960" w:type="dxa"/>
            <w:vMerge w:val="restart"/>
            <w:tcBorders>
              <w:top w:val="single" w:color="000000" w:sz="4" w:space="0"/>
              <w:left w:val="nil"/>
              <w:bottom w:val="single" w:color="000000" w:sz="4" w:space="0"/>
              <w:right w:val="single" w:color="000000" w:sz="4" w:space="0"/>
            </w:tcBorders>
            <w:shd w:val="clear" w:color="auto" w:fill="FFFFFF"/>
            <w:noWrap/>
            <w:tcMar>
              <w:left w:w="70" w:type="dxa"/>
              <w:right w:w="70" w:type="dxa"/>
            </w:tcMar>
            <w:vAlign w:val="top"/>
          </w:tcPr>
          <w:p w14:paraId="56EE1A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Style w:val="5"/>
                <w:rFonts w:hint="eastAsia" w:ascii="仿宋" w:hAnsi="仿宋" w:eastAsia="仿宋" w:cs="仿宋"/>
                <w:i w:val="0"/>
                <w:iCs w:val="0"/>
                <w:caps w:val="0"/>
                <w:color w:val="6C480D"/>
                <w:spacing w:val="0"/>
                <w:sz w:val="16"/>
                <w:szCs w:val="16"/>
                <w:bdr w:val="none" w:color="auto" w:sz="0" w:space="0"/>
              </w:rPr>
              <w:t>学院</w:t>
            </w:r>
          </w:p>
        </w:tc>
        <w:tc>
          <w:tcPr>
            <w:tcW w:w="2160" w:type="dxa"/>
            <w:vMerge w:val="restart"/>
            <w:tcBorders>
              <w:top w:val="single" w:color="000000" w:sz="4" w:space="0"/>
              <w:left w:val="nil"/>
              <w:bottom w:val="single" w:color="000000" w:sz="4" w:space="0"/>
              <w:right w:val="single" w:color="000000" w:sz="4" w:space="0"/>
            </w:tcBorders>
            <w:shd w:val="clear" w:color="auto" w:fill="FFFFFF"/>
            <w:noWrap/>
            <w:tcMar>
              <w:left w:w="70" w:type="dxa"/>
              <w:right w:w="70" w:type="dxa"/>
            </w:tcMar>
            <w:vAlign w:val="top"/>
          </w:tcPr>
          <w:p w14:paraId="23509C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Style w:val="5"/>
                <w:rFonts w:hint="eastAsia" w:ascii="仿宋" w:hAnsi="仿宋" w:eastAsia="仿宋" w:cs="仿宋"/>
                <w:i w:val="0"/>
                <w:iCs w:val="0"/>
                <w:caps w:val="0"/>
                <w:color w:val="6C480D"/>
                <w:spacing w:val="0"/>
                <w:sz w:val="16"/>
                <w:szCs w:val="16"/>
                <w:bdr w:val="none" w:color="auto" w:sz="0" w:space="0"/>
              </w:rPr>
              <w:t>专业</w:t>
            </w:r>
          </w:p>
        </w:tc>
        <w:tc>
          <w:tcPr>
            <w:tcW w:w="1470" w:type="dxa"/>
            <w:vMerge w:val="restart"/>
            <w:tcBorders>
              <w:top w:val="single" w:color="000000" w:sz="4" w:space="0"/>
              <w:left w:val="nil"/>
              <w:bottom w:val="single" w:color="000000" w:sz="4" w:space="0"/>
              <w:right w:val="single" w:color="000000" w:sz="4" w:space="0"/>
            </w:tcBorders>
            <w:shd w:val="clear" w:color="auto" w:fill="FFFFFF"/>
            <w:noWrap/>
            <w:tcMar>
              <w:left w:w="70" w:type="dxa"/>
              <w:right w:w="70" w:type="dxa"/>
            </w:tcMar>
            <w:vAlign w:val="top"/>
          </w:tcPr>
          <w:p w14:paraId="0F9413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Style w:val="5"/>
                <w:rFonts w:hint="eastAsia" w:ascii="仿宋" w:hAnsi="仿宋" w:eastAsia="仿宋" w:cs="仿宋"/>
                <w:i w:val="0"/>
                <w:iCs w:val="0"/>
                <w:caps w:val="0"/>
                <w:color w:val="6C480D"/>
                <w:spacing w:val="0"/>
                <w:sz w:val="16"/>
                <w:szCs w:val="16"/>
                <w:bdr w:val="none" w:color="auto" w:sz="0" w:space="0"/>
              </w:rPr>
              <w:t>计划</w:t>
            </w:r>
          </w:p>
        </w:tc>
      </w:tr>
      <w:tr w14:paraId="369AE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40" w:hRule="atLeast"/>
        </w:trPr>
        <w:tc>
          <w:tcPr>
            <w:tcW w:w="550"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275F725">
            <w:pPr>
              <w:jc w:val="left"/>
              <w:rPr>
                <w:rFonts w:hint="eastAsia" w:ascii="微软雅黑" w:hAnsi="微软雅黑" w:eastAsia="微软雅黑" w:cs="微软雅黑"/>
                <w:i w:val="0"/>
                <w:iCs w:val="0"/>
                <w:caps w:val="0"/>
                <w:color w:val="6C480D"/>
                <w:spacing w:val="0"/>
                <w:sz w:val="14"/>
                <w:szCs w:val="14"/>
              </w:rPr>
            </w:pPr>
          </w:p>
        </w:tc>
        <w:tc>
          <w:tcPr>
            <w:tcW w:w="1960" w:type="dxa"/>
            <w:vMerge w:val="continue"/>
            <w:tcBorders>
              <w:top w:val="single" w:color="000000" w:sz="4" w:space="0"/>
              <w:left w:val="nil"/>
              <w:bottom w:val="single" w:color="000000" w:sz="4" w:space="0"/>
              <w:right w:val="single" w:color="000000" w:sz="4" w:space="0"/>
            </w:tcBorders>
            <w:shd w:val="clear" w:color="auto" w:fill="FFFFFF"/>
            <w:noWrap/>
            <w:tcMar>
              <w:left w:w="70" w:type="dxa"/>
              <w:right w:w="70" w:type="dxa"/>
            </w:tcMar>
            <w:vAlign w:val="top"/>
          </w:tcPr>
          <w:p w14:paraId="68E52BC2">
            <w:pPr>
              <w:jc w:val="left"/>
              <w:rPr>
                <w:rFonts w:hint="eastAsia" w:ascii="微软雅黑" w:hAnsi="微软雅黑" w:eastAsia="微软雅黑" w:cs="微软雅黑"/>
                <w:i w:val="0"/>
                <w:iCs w:val="0"/>
                <w:caps w:val="0"/>
                <w:color w:val="6C480D"/>
                <w:spacing w:val="0"/>
                <w:sz w:val="14"/>
                <w:szCs w:val="14"/>
              </w:rPr>
            </w:pPr>
          </w:p>
        </w:tc>
        <w:tc>
          <w:tcPr>
            <w:tcW w:w="2160" w:type="dxa"/>
            <w:vMerge w:val="continue"/>
            <w:tcBorders>
              <w:top w:val="single" w:color="000000" w:sz="4" w:space="0"/>
              <w:left w:val="nil"/>
              <w:bottom w:val="single" w:color="000000" w:sz="4" w:space="0"/>
              <w:right w:val="single" w:color="000000" w:sz="4" w:space="0"/>
            </w:tcBorders>
            <w:shd w:val="clear" w:color="auto" w:fill="FFFFFF"/>
            <w:noWrap/>
            <w:tcMar>
              <w:left w:w="70" w:type="dxa"/>
              <w:right w:w="70" w:type="dxa"/>
            </w:tcMar>
            <w:vAlign w:val="top"/>
          </w:tcPr>
          <w:p w14:paraId="74EDC765">
            <w:pPr>
              <w:jc w:val="left"/>
              <w:rPr>
                <w:rFonts w:hint="eastAsia" w:ascii="微软雅黑" w:hAnsi="微软雅黑" w:eastAsia="微软雅黑" w:cs="微软雅黑"/>
                <w:i w:val="0"/>
                <w:iCs w:val="0"/>
                <w:caps w:val="0"/>
                <w:color w:val="6C480D"/>
                <w:spacing w:val="0"/>
                <w:sz w:val="14"/>
                <w:szCs w:val="14"/>
              </w:rPr>
            </w:pPr>
          </w:p>
        </w:tc>
        <w:tc>
          <w:tcPr>
            <w:tcW w:w="1470" w:type="dxa"/>
            <w:vMerge w:val="continue"/>
            <w:tcBorders>
              <w:top w:val="single" w:color="000000" w:sz="4" w:space="0"/>
              <w:left w:val="nil"/>
              <w:bottom w:val="single" w:color="000000" w:sz="4" w:space="0"/>
              <w:right w:val="single" w:color="000000" w:sz="4" w:space="0"/>
            </w:tcBorders>
            <w:shd w:val="clear" w:color="auto" w:fill="FFFFFF"/>
            <w:noWrap/>
            <w:tcMar>
              <w:left w:w="70" w:type="dxa"/>
              <w:right w:w="70" w:type="dxa"/>
            </w:tcMar>
            <w:vAlign w:val="top"/>
          </w:tcPr>
          <w:p w14:paraId="4441D339">
            <w:pPr>
              <w:jc w:val="left"/>
              <w:rPr>
                <w:rFonts w:hint="eastAsia" w:ascii="微软雅黑" w:hAnsi="微软雅黑" w:eastAsia="微软雅黑" w:cs="微软雅黑"/>
                <w:i w:val="0"/>
                <w:iCs w:val="0"/>
                <w:caps w:val="0"/>
                <w:color w:val="6C480D"/>
                <w:spacing w:val="0"/>
                <w:sz w:val="14"/>
                <w:szCs w:val="14"/>
              </w:rPr>
            </w:pPr>
          </w:p>
        </w:tc>
      </w:tr>
      <w:tr w14:paraId="727AD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A93D3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w:t>
            </w:r>
          </w:p>
        </w:tc>
        <w:tc>
          <w:tcPr>
            <w:tcW w:w="1960" w:type="dxa"/>
            <w:vMerge w:val="restart"/>
            <w:tcBorders>
              <w:top w:val="nil"/>
              <w:left w:val="nil"/>
              <w:bottom w:val="single" w:color="000000" w:sz="4" w:space="0"/>
              <w:right w:val="single" w:color="000000" w:sz="4" w:space="0"/>
            </w:tcBorders>
            <w:shd w:val="clear" w:color="auto" w:fill="FFFFFF"/>
            <w:noWrap/>
            <w:tcMar>
              <w:left w:w="70" w:type="dxa"/>
              <w:right w:w="70" w:type="dxa"/>
            </w:tcMar>
            <w:vAlign w:val="top"/>
          </w:tcPr>
          <w:p w14:paraId="63AF45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教育学院</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94E37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小学教育</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040BC7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2BC5A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1559F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2</w:t>
            </w:r>
          </w:p>
        </w:tc>
        <w:tc>
          <w:tcPr>
            <w:tcW w:w="1960" w:type="dxa"/>
            <w:vMerge w:val="continue"/>
            <w:tcBorders>
              <w:top w:val="nil"/>
              <w:left w:val="nil"/>
              <w:bottom w:val="single" w:color="000000" w:sz="4" w:space="0"/>
              <w:right w:val="single" w:color="000000" w:sz="4" w:space="0"/>
            </w:tcBorders>
            <w:shd w:val="clear" w:color="auto" w:fill="FFFFFF"/>
            <w:noWrap/>
            <w:tcMar>
              <w:left w:w="70" w:type="dxa"/>
              <w:right w:w="70" w:type="dxa"/>
            </w:tcMar>
            <w:vAlign w:val="top"/>
          </w:tcPr>
          <w:p w14:paraId="46557CDD">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25D32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学前教育</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E1F60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7</w:t>
            </w:r>
          </w:p>
        </w:tc>
      </w:tr>
      <w:tr w14:paraId="12C9A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04601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3</w:t>
            </w:r>
          </w:p>
        </w:tc>
        <w:tc>
          <w:tcPr>
            <w:tcW w:w="1960" w:type="dxa"/>
            <w:vMerge w:val="restart"/>
            <w:tcBorders>
              <w:top w:val="nil"/>
              <w:left w:val="nil"/>
              <w:bottom w:val="single" w:color="000000" w:sz="4" w:space="0"/>
              <w:right w:val="single" w:color="000000" w:sz="4" w:space="0"/>
            </w:tcBorders>
            <w:shd w:val="clear" w:color="auto" w:fill="FFFFFF"/>
            <w:noWrap/>
            <w:tcMar>
              <w:left w:w="70" w:type="dxa"/>
              <w:right w:w="70" w:type="dxa"/>
            </w:tcMar>
            <w:vAlign w:val="top"/>
          </w:tcPr>
          <w:p w14:paraId="53A57F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外国语学院</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8190A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英语</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3F526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7</w:t>
            </w:r>
          </w:p>
        </w:tc>
      </w:tr>
      <w:tr w14:paraId="30B91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6D985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4</w:t>
            </w:r>
          </w:p>
        </w:tc>
        <w:tc>
          <w:tcPr>
            <w:tcW w:w="1960" w:type="dxa"/>
            <w:vMerge w:val="continue"/>
            <w:tcBorders>
              <w:top w:val="nil"/>
              <w:left w:val="nil"/>
              <w:bottom w:val="single" w:color="000000" w:sz="4" w:space="0"/>
              <w:right w:val="single" w:color="000000" w:sz="4" w:space="0"/>
            </w:tcBorders>
            <w:shd w:val="clear" w:color="auto" w:fill="FFFFFF"/>
            <w:noWrap/>
            <w:tcMar>
              <w:left w:w="70" w:type="dxa"/>
              <w:right w:w="70" w:type="dxa"/>
            </w:tcMar>
            <w:vAlign w:val="top"/>
          </w:tcPr>
          <w:p w14:paraId="7026D64A">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48735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商务英语</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6481E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339CD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B5702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5</w:t>
            </w:r>
          </w:p>
        </w:tc>
        <w:tc>
          <w:tcPr>
            <w:tcW w:w="1960" w:type="dxa"/>
            <w:vMerge w:val="restart"/>
            <w:tcBorders>
              <w:top w:val="nil"/>
              <w:left w:val="nil"/>
              <w:bottom w:val="single" w:color="000000" w:sz="4" w:space="0"/>
              <w:right w:val="single" w:color="000000" w:sz="4" w:space="0"/>
            </w:tcBorders>
            <w:shd w:val="clear" w:color="auto" w:fill="FFFFFF"/>
            <w:tcMar>
              <w:left w:w="70" w:type="dxa"/>
              <w:right w:w="70" w:type="dxa"/>
            </w:tcMar>
            <w:vAlign w:val="top"/>
          </w:tcPr>
          <w:p w14:paraId="1D0ECB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生物与环境工程学院</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4386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环境科学</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88F6C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10</w:t>
            </w:r>
          </w:p>
        </w:tc>
      </w:tr>
      <w:tr w14:paraId="491E7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0D46A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6</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54CEFB70">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0D200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风景园林</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072CCE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2</w:t>
            </w:r>
          </w:p>
        </w:tc>
      </w:tr>
      <w:tr w14:paraId="062DE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00396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7</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791563A0">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BDD6A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生物工程</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2B06E6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2</w:t>
            </w:r>
          </w:p>
        </w:tc>
      </w:tr>
      <w:tr w14:paraId="5FE3F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DC057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8</w:t>
            </w:r>
          </w:p>
        </w:tc>
        <w:tc>
          <w:tcPr>
            <w:tcW w:w="19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250EB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信息工程学院</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E2217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网络工程</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F749E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2334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C062B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9</w:t>
            </w:r>
          </w:p>
        </w:tc>
        <w:tc>
          <w:tcPr>
            <w:tcW w:w="19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ACD19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机械电子工程学院</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385E7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自动化</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D02FA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23A12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59FDF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10</w:t>
            </w:r>
          </w:p>
        </w:tc>
        <w:tc>
          <w:tcPr>
            <w:tcW w:w="1960" w:type="dxa"/>
            <w:vMerge w:val="restart"/>
            <w:tcBorders>
              <w:top w:val="nil"/>
              <w:left w:val="nil"/>
              <w:bottom w:val="single" w:color="000000" w:sz="4" w:space="0"/>
              <w:right w:val="single" w:color="000000" w:sz="4" w:space="0"/>
            </w:tcBorders>
            <w:shd w:val="clear" w:color="auto" w:fill="FFFFFF"/>
            <w:tcMar>
              <w:left w:w="70" w:type="dxa"/>
              <w:right w:w="70" w:type="dxa"/>
            </w:tcMar>
            <w:vAlign w:val="top"/>
          </w:tcPr>
          <w:p w14:paraId="12DE2F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江西旅游商贸职业学院（联合培养）</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5FAB87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酒店管理</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2B4DF1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344D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35EBE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11</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4B0DCE1F">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B8FB4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物流管理</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23D4B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66BC2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5F35E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12</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5A560B13">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582FAC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电子商务</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1D22D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1F69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B48BA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c>
          <w:tcPr>
            <w:tcW w:w="1960" w:type="dxa"/>
            <w:tcBorders>
              <w:top w:val="nil"/>
              <w:left w:val="nil"/>
              <w:bottom w:val="single" w:color="000000" w:sz="4" w:space="0"/>
              <w:right w:val="single" w:color="000000" w:sz="4" w:space="0"/>
            </w:tcBorders>
            <w:shd w:val="clear" w:color="auto" w:fill="FFFFFF"/>
            <w:tcMar>
              <w:left w:w="70" w:type="dxa"/>
              <w:right w:w="70" w:type="dxa"/>
            </w:tcMar>
            <w:vAlign w:val="top"/>
          </w:tcPr>
          <w:p w14:paraId="42ED54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江西工业贸易职业技术学院（联合培养）</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3C130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机械设计制造及其自动化</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4EAD20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27</w:t>
            </w:r>
          </w:p>
        </w:tc>
      </w:tr>
      <w:tr w14:paraId="55F2D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1B9CC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14</w:t>
            </w:r>
          </w:p>
        </w:tc>
        <w:tc>
          <w:tcPr>
            <w:tcW w:w="1960" w:type="dxa"/>
            <w:vMerge w:val="restart"/>
            <w:tcBorders>
              <w:top w:val="nil"/>
              <w:left w:val="nil"/>
              <w:bottom w:val="single" w:color="000000" w:sz="4" w:space="0"/>
              <w:right w:val="single" w:color="000000" w:sz="4" w:space="0"/>
            </w:tcBorders>
            <w:shd w:val="clear" w:color="auto" w:fill="FFFFFF"/>
            <w:tcMar>
              <w:left w:w="70" w:type="dxa"/>
              <w:right w:w="70" w:type="dxa"/>
            </w:tcMar>
            <w:vAlign w:val="top"/>
          </w:tcPr>
          <w:p w14:paraId="032A56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江西交通职业技术学院（联合培养）</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A38DE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物流管理</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133B54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0201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47EE3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15</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1A24A24A">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8292A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机械设计制造及其自动化</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DAB90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1E8C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ACF74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16</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5857C748">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51D94C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计算机科学与技术</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379E69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47D0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04EF1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17</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4EBAB787">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207D41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汽车服务工程</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94E93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13</w:t>
            </w:r>
          </w:p>
        </w:tc>
      </w:tr>
      <w:tr w14:paraId="48CA9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73302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18</w:t>
            </w:r>
          </w:p>
        </w:tc>
        <w:tc>
          <w:tcPr>
            <w:tcW w:w="1960" w:type="dxa"/>
            <w:vMerge w:val="restart"/>
            <w:tcBorders>
              <w:top w:val="nil"/>
              <w:left w:val="nil"/>
              <w:bottom w:val="single" w:color="000000" w:sz="4" w:space="0"/>
              <w:right w:val="single" w:color="000000" w:sz="4" w:space="0"/>
            </w:tcBorders>
            <w:shd w:val="clear" w:color="auto" w:fill="FFFFFF"/>
            <w:tcMar>
              <w:left w:w="70" w:type="dxa"/>
              <w:right w:w="70" w:type="dxa"/>
            </w:tcMar>
            <w:vAlign w:val="top"/>
          </w:tcPr>
          <w:p w14:paraId="4F7274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江西陶瓷工艺美术</w:t>
            </w:r>
          </w:p>
          <w:p w14:paraId="310F69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职业技术学院</w:t>
            </w:r>
          </w:p>
          <w:p w14:paraId="10D04F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（联合培养）</w:t>
            </w: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2B00FB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电子商务</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0FB238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26</w:t>
            </w:r>
          </w:p>
        </w:tc>
      </w:tr>
      <w:tr w14:paraId="0ACA2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03478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19</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42E12B81">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7A047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工艺美术</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6C2075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8</w:t>
            </w:r>
          </w:p>
        </w:tc>
      </w:tr>
      <w:tr w14:paraId="1A6D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55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DBD0D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20</w:t>
            </w:r>
          </w:p>
        </w:tc>
        <w:tc>
          <w:tcPr>
            <w:tcW w:w="1960" w:type="dxa"/>
            <w:vMerge w:val="continue"/>
            <w:tcBorders>
              <w:top w:val="nil"/>
              <w:left w:val="nil"/>
              <w:bottom w:val="single" w:color="000000" w:sz="4" w:space="0"/>
              <w:right w:val="single" w:color="000000" w:sz="4" w:space="0"/>
            </w:tcBorders>
            <w:shd w:val="clear" w:color="auto" w:fill="FFFFFF"/>
            <w:tcMar>
              <w:left w:w="70" w:type="dxa"/>
              <w:right w:w="70" w:type="dxa"/>
            </w:tcMar>
            <w:vAlign w:val="top"/>
          </w:tcPr>
          <w:p w14:paraId="57F4277C">
            <w:pPr>
              <w:jc w:val="left"/>
              <w:rPr>
                <w:rFonts w:hint="eastAsia" w:ascii="微软雅黑" w:hAnsi="微软雅黑" w:eastAsia="微软雅黑" w:cs="微软雅黑"/>
                <w:i w:val="0"/>
                <w:iCs w:val="0"/>
                <w:caps w:val="0"/>
                <w:color w:val="6C480D"/>
                <w:spacing w:val="0"/>
                <w:sz w:val="14"/>
                <w:szCs w:val="14"/>
              </w:rPr>
            </w:pPr>
          </w:p>
        </w:tc>
        <w:tc>
          <w:tcPr>
            <w:tcW w:w="216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569546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雕塑</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544EFA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8</w:t>
            </w:r>
          </w:p>
        </w:tc>
      </w:tr>
      <w:tr w14:paraId="2FEC0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0" w:hRule="atLeast"/>
        </w:trPr>
        <w:tc>
          <w:tcPr>
            <w:tcW w:w="4670" w:type="dxa"/>
            <w:gridSpan w:val="3"/>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49960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Style w:val="5"/>
                <w:rFonts w:hint="eastAsia" w:ascii="仿宋" w:hAnsi="仿宋" w:eastAsia="仿宋" w:cs="仿宋"/>
                <w:i w:val="0"/>
                <w:iCs w:val="0"/>
                <w:caps w:val="0"/>
                <w:color w:val="6C480D"/>
                <w:spacing w:val="0"/>
                <w:sz w:val="16"/>
                <w:szCs w:val="16"/>
                <w:bdr w:val="none" w:color="auto" w:sz="0" w:space="0"/>
              </w:rPr>
              <w:t>合  计</w:t>
            </w:r>
          </w:p>
        </w:tc>
        <w:tc>
          <w:tcPr>
            <w:tcW w:w="1470" w:type="dxa"/>
            <w:tcBorders>
              <w:top w:val="nil"/>
              <w:left w:val="nil"/>
              <w:bottom w:val="single" w:color="000000" w:sz="4" w:space="0"/>
              <w:right w:val="single" w:color="000000" w:sz="4" w:space="0"/>
            </w:tcBorders>
            <w:shd w:val="clear" w:color="auto" w:fill="FFFFFF"/>
            <w:noWrap/>
            <w:tcMar>
              <w:left w:w="70" w:type="dxa"/>
              <w:right w:w="70" w:type="dxa"/>
            </w:tcMar>
            <w:vAlign w:val="top"/>
          </w:tcPr>
          <w:p w14:paraId="76B43E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Style w:val="5"/>
                <w:rFonts w:hint="eastAsia" w:ascii="仿宋" w:hAnsi="仿宋" w:eastAsia="仿宋" w:cs="仿宋"/>
                <w:i w:val="0"/>
                <w:iCs w:val="0"/>
                <w:caps w:val="0"/>
                <w:color w:val="6C480D"/>
                <w:spacing w:val="0"/>
                <w:sz w:val="16"/>
                <w:szCs w:val="16"/>
                <w:bdr w:val="none" w:color="auto" w:sz="0" w:space="0"/>
              </w:rPr>
              <w:t>240</w:t>
            </w:r>
          </w:p>
        </w:tc>
      </w:tr>
    </w:tbl>
    <w:p w14:paraId="603903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黑体" w:hAnsi="宋体" w:eastAsia="黑体" w:cs="黑体"/>
          <w:i w:val="0"/>
          <w:iCs w:val="0"/>
          <w:caps w:val="0"/>
          <w:color w:val="6C480D"/>
          <w:spacing w:val="0"/>
          <w:sz w:val="19"/>
          <w:szCs w:val="19"/>
          <w:bdr w:val="none" w:color="auto" w:sz="0" w:space="0"/>
          <w:shd w:val="clear" w:fill="FFFFFF"/>
        </w:rPr>
        <w:t>二、招生对象</w:t>
      </w:r>
    </w:p>
    <w:p w14:paraId="623AEF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一）在2025年7月31日前可取得或已取得毕业证的退役大学生士兵，且符合下列条件之一：江西省普通高校高职（专科）学生在校期间或毕业后应征入伍。‚外省普通高校高职（专科）学生在校期间或毕业后，在江西应征入伍。</w:t>
      </w:r>
    </w:p>
    <w:p w14:paraId="3E51AA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（二）在入伍期间和退役后工作学习期间，无记过及以上纪律处分，或受到纪律处分但报名前已解除处分的。</w:t>
      </w:r>
    </w:p>
    <w:p w14:paraId="0806CE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70"/>
        <w:jc w:val="left"/>
        <w:rPr>
          <w:rFonts w:hint="eastAsia" w:ascii="微软雅黑" w:hAnsi="微软雅黑" w:eastAsia="微软雅黑" w:cs="微软雅黑"/>
          <w:i w:val="0"/>
          <w:iCs w:val="0"/>
          <w:caps w:val="0"/>
          <w:color w:val="6C480D"/>
          <w:spacing w:val="0"/>
          <w:sz w:val="14"/>
          <w:szCs w:val="14"/>
        </w:rPr>
      </w:pPr>
      <w:r>
        <w:rPr>
          <w:rStyle w:val="5"/>
          <w:rFonts w:hint="eastAsia" w:ascii="黑体" w:hAnsi="宋体" w:eastAsia="黑体" w:cs="黑体"/>
          <w:i w:val="0"/>
          <w:iCs w:val="0"/>
          <w:caps w:val="0"/>
          <w:color w:val="6C480D"/>
          <w:spacing w:val="0"/>
          <w:sz w:val="19"/>
          <w:szCs w:val="19"/>
          <w:bdr w:val="none" w:color="auto" w:sz="0" w:space="0"/>
          <w:shd w:val="clear" w:fill="FFFFFF"/>
        </w:rPr>
        <w:t>三、免试申请</w:t>
      </w:r>
    </w:p>
    <w:p w14:paraId="6A3DDD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凡符合免试申请条件且已通过资格审核的退役大学生士兵，依照本简章公布的招生专业及计划，申报我校2025年退役大学生士兵专升本免试录取。申报的专业学校将按照《江西省2025年普通高校专升本考试对应专业（类）指导目录》予以审核。</w:t>
      </w:r>
    </w:p>
    <w:p w14:paraId="46B06F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申报参加我校综合评价考查的退役大学生士兵，可在规定的时间</w:t>
      </w:r>
    </w:p>
    <w:p w14:paraId="51020E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内提交申请材料，申请材料为：①电子扫描文件（jpg 格式）包括：专科阶段的学习成绩表（原学校教务处盖章）及优秀毕业生证明（如有）、服役期间的表现相关证明材料、毕业证、身份证、退役证等；②电子版附件（报名表）。所有申请材料打包压缩成一个文件，打包文件名为：姓名+所报专业。</w:t>
      </w:r>
    </w:p>
    <w:p w14:paraId="55BCFC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时间：自发布之日起至2月25日17:00 止</w:t>
      </w:r>
    </w:p>
    <w:p w14:paraId="63C956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邮箱：</w:t>
      </w:r>
      <w:r>
        <w:rPr>
          <w:rFonts w:hint="eastAsia" w:ascii="微软雅黑" w:hAnsi="微软雅黑" w:eastAsia="微软雅黑" w:cs="微软雅黑"/>
          <w:i w:val="0"/>
          <w:iCs w:val="0"/>
          <w:caps w:val="0"/>
          <w:color w:val="574E2D"/>
          <w:spacing w:val="0"/>
          <w:sz w:val="14"/>
          <w:szCs w:val="14"/>
          <w:u w:val="none"/>
          <w:bdr w:val="none" w:color="auto" w:sz="0" w:space="0"/>
          <w:shd w:val="clear" w:fill="FFFFFF"/>
        </w:rPr>
        <w:fldChar w:fldCharType="begin"/>
      </w:r>
      <w:r>
        <w:rPr>
          <w:rFonts w:hint="eastAsia" w:ascii="微软雅黑" w:hAnsi="微软雅黑" w:eastAsia="微软雅黑" w:cs="微软雅黑"/>
          <w:i w:val="0"/>
          <w:iCs w:val="0"/>
          <w:caps w:val="0"/>
          <w:color w:val="574E2D"/>
          <w:spacing w:val="0"/>
          <w:sz w:val="14"/>
          <w:szCs w:val="14"/>
          <w:u w:val="none"/>
          <w:bdr w:val="none" w:color="auto" w:sz="0" w:space="0"/>
          <w:shd w:val="clear" w:fill="FFFFFF"/>
        </w:rPr>
        <w:instrText xml:space="preserve"> HYPERLINK "mailto:jcc_zjc6008@163.com" </w:instrText>
      </w:r>
      <w:r>
        <w:rPr>
          <w:rFonts w:hint="eastAsia" w:ascii="微软雅黑" w:hAnsi="微软雅黑" w:eastAsia="微软雅黑" w:cs="微软雅黑"/>
          <w:i w:val="0"/>
          <w:iCs w:val="0"/>
          <w:caps w:val="0"/>
          <w:color w:val="574E2D"/>
          <w:spacing w:val="0"/>
          <w:sz w:val="14"/>
          <w:szCs w:val="14"/>
          <w:u w:val="none"/>
          <w:bdr w:val="none" w:color="auto" w:sz="0" w:space="0"/>
          <w:shd w:val="clear" w:fill="FFFFFF"/>
        </w:rPr>
        <w:fldChar w:fldCharType="separate"/>
      </w:r>
      <w:r>
        <w:rPr>
          <w:rStyle w:val="6"/>
          <w:rFonts w:hint="eastAsia" w:ascii="仿宋" w:hAnsi="仿宋" w:eastAsia="仿宋" w:cs="仿宋"/>
          <w:i w:val="0"/>
          <w:iCs w:val="0"/>
          <w:caps w:val="0"/>
          <w:color w:val="574E2D"/>
          <w:spacing w:val="0"/>
          <w:sz w:val="19"/>
          <w:szCs w:val="19"/>
          <w:u w:val="none"/>
          <w:bdr w:val="none" w:color="auto" w:sz="0" w:space="0"/>
          <w:shd w:val="clear" w:fill="FFFFFF"/>
        </w:rPr>
        <w:t>jcc_zjc6008@163.com</w:t>
      </w:r>
      <w:r>
        <w:rPr>
          <w:rFonts w:hint="eastAsia" w:ascii="微软雅黑" w:hAnsi="微软雅黑" w:eastAsia="微软雅黑" w:cs="微软雅黑"/>
          <w:i w:val="0"/>
          <w:iCs w:val="0"/>
          <w:caps w:val="0"/>
          <w:color w:val="574E2D"/>
          <w:spacing w:val="0"/>
          <w:sz w:val="14"/>
          <w:szCs w:val="14"/>
          <w:u w:val="none"/>
          <w:bdr w:val="none" w:color="auto" w:sz="0" w:space="0"/>
          <w:shd w:val="clear" w:fill="FFFFFF"/>
        </w:rPr>
        <w:fldChar w:fldCharType="end"/>
      </w:r>
    </w:p>
    <w:p w14:paraId="65FFBF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黑体" w:hAnsi="宋体" w:eastAsia="黑体" w:cs="黑体"/>
          <w:i w:val="0"/>
          <w:iCs w:val="0"/>
          <w:caps w:val="0"/>
          <w:color w:val="6C480D"/>
          <w:spacing w:val="0"/>
          <w:sz w:val="19"/>
          <w:szCs w:val="19"/>
          <w:bdr w:val="none" w:color="auto" w:sz="0" w:space="0"/>
          <w:shd w:val="clear" w:fill="FFFFFF"/>
        </w:rPr>
        <w:t>四、综合评价</w:t>
      </w:r>
    </w:p>
    <w:p w14:paraId="5CF7B0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退役大学生士兵在报名结束后，学校将根据专业人才培养要求，对申请本校免试录取的退役大学生士兵组织相关的职业适应性或职业技能综合考查，结合在校期间成绩、服役期间表现等情况，作出综合评价成绩，向省教育考试院上报综合评价合格名单。</w:t>
      </w:r>
    </w:p>
    <w:p w14:paraId="3FF45C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综合评价成绩组成：由专科阶段的学习及表现、服役期间的表现、校内考查三部分组成，专科阶段的学习及表现100分制、服役期间的表现100分制、校内考查100分制，总分300分。</w:t>
      </w:r>
    </w:p>
    <w:p w14:paraId="4CEFA3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1.专科阶段的学习及表现：十门专业课课程分数的平均分为专科阶段学习得分，优秀毕业生加5分，合计上限100分。</w:t>
      </w:r>
    </w:p>
    <w:p w14:paraId="7354B4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2.服役期间的表现：以50 分为初始分；奖励加分：按照三等功30 分、二等功40 分、一等功50 分计入总分，集体奖项加分按一半计，须部队提供此奖项与个人相关证明；表彰加分：按照团级以上表彰每次 8 分、 团级以下表彰每次 6 分计入总分，多次表彰的可累加，但最多只能累加三次，合计上限100分。</w:t>
      </w:r>
    </w:p>
    <w:p w14:paraId="2073D9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 3.校内考查</w:t>
      </w:r>
    </w:p>
    <w:p w14:paraId="16A476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学校将于3月5日至6日（保持通讯畅通，注意学校通知）之间安排进行校内考查，具体事宜由各考查学院通知本人。</w:t>
      </w:r>
    </w:p>
    <w:tbl>
      <w:tblPr>
        <w:tblW w:w="660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599"/>
        <w:gridCol w:w="967"/>
        <w:gridCol w:w="2007"/>
        <w:gridCol w:w="3027"/>
      </w:tblGrid>
      <w:tr w14:paraId="6F0A7D4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30" w:hRule="atLeast"/>
        </w:trPr>
        <w:tc>
          <w:tcPr>
            <w:tcW w:w="570" w:type="dxa"/>
            <w:tcBorders>
              <w:top w:val="single" w:color="000000" w:sz="4" w:space="0"/>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28BAA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both"/>
              <w:textAlignment w:val="center"/>
            </w:pPr>
            <w:r>
              <w:rPr>
                <w:rFonts w:hint="eastAsia" w:ascii="仿宋" w:hAnsi="仿宋" w:eastAsia="仿宋" w:cs="仿宋"/>
                <w:i w:val="0"/>
                <w:iCs w:val="0"/>
                <w:caps w:val="0"/>
                <w:color w:val="6C480D"/>
                <w:spacing w:val="0"/>
                <w:sz w:val="19"/>
                <w:szCs w:val="19"/>
                <w:bdr w:val="none" w:color="auto" w:sz="0" w:space="0"/>
              </w:rPr>
              <w:t>序号</w:t>
            </w:r>
          </w:p>
        </w:tc>
        <w:tc>
          <w:tcPr>
            <w:tcW w:w="920" w:type="dxa"/>
            <w:tcBorders>
              <w:top w:val="single" w:color="000000" w:sz="4" w:space="0"/>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3215C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考查学院</w:t>
            </w:r>
          </w:p>
        </w:tc>
        <w:tc>
          <w:tcPr>
            <w:tcW w:w="1910" w:type="dxa"/>
            <w:tcBorders>
              <w:top w:val="single" w:color="000000" w:sz="4" w:space="0"/>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197BA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招生专业</w:t>
            </w:r>
          </w:p>
        </w:tc>
        <w:tc>
          <w:tcPr>
            <w:tcW w:w="2880" w:type="dxa"/>
            <w:tcBorders>
              <w:top w:val="single" w:color="000000" w:sz="4" w:space="0"/>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DA1839F">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考查方法</w:t>
            </w:r>
          </w:p>
        </w:tc>
      </w:tr>
      <w:tr w14:paraId="77E4F42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DD1F1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w:t>
            </w:r>
          </w:p>
        </w:tc>
        <w:tc>
          <w:tcPr>
            <w:tcW w:w="920" w:type="dxa"/>
            <w:vMerge w:val="restart"/>
            <w:tcBorders>
              <w:top w:val="nil"/>
              <w:left w:val="single" w:color="000000" w:sz="4" w:space="0"/>
              <w:bottom w:val="single" w:color="000000" w:sz="4" w:space="0"/>
              <w:right w:val="single" w:color="000000" w:sz="4" w:space="0"/>
            </w:tcBorders>
            <w:shd w:val="clear" w:color="auto" w:fill="FFFFFF"/>
            <w:tcMar>
              <w:left w:w="70" w:type="dxa"/>
              <w:right w:w="70" w:type="dxa"/>
            </w:tcMar>
            <w:vAlign w:val="top"/>
          </w:tcPr>
          <w:p w14:paraId="17F672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机电学院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14967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6"/>
                <w:szCs w:val="16"/>
                <w:bdr w:val="none" w:color="auto" w:sz="0" w:space="0"/>
              </w:rPr>
              <w:t>机械设计制造及其自动化</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58E5ADF">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工程制图</w:t>
            </w:r>
          </w:p>
        </w:tc>
      </w:tr>
      <w:tr w14:paraId="3A1AE5A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1DF59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2</w:t>
            </w:r>
          </w:p>
        </w:tc>
        <w:tc>
          <w:tcPr>
            <w:tcW w:w="920" w:type="dxa"/>
            <w:vMerge w:val="continue"/>
            <w:tcBorders>
              <w:top w:val="nil"/>
              <w:left w:val="single" w:color="000000" w:sz="4" w:space="0"/>
              <w:bottom w:val="single" w:color="000000" w:sz="4" w:space="0"/>
              <w:right w:val="single" w:color="000000" w:sz="4" w:space="0"/>
            </w:tcBorders>
            <w:shd w:val="clear" w:color="auto" w:fill="FFFFFF"/>
            <w:tcMar>
              <w:left w:w="70" w:type="dxa"/>
              <w:right w:w="70" w:type="dxa"/>
            </w:tcMar>
            <w:vAlign w:val="top"/>
          </w:tcPr>
          <w:p w14:paraId="4C14DDE2">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78D9A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汽车服务工程</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AE40FDF">
            <w:pPr>
              <w:jc w:val="left"/>
              <w:rPr>
                <w:rFonts w:hint="eastAsia" w:ascii="微软雅黑" w:hAnsi="微软雅黑" w:eastAsia="微软雅黑" w:cs="微软雅黑"/>
                <w:i w:val="0"/>
                <w:iCs w:val="0"/>
                <w:caps w:val="0"/>
                <w:color w:val="6C480D"/>
                <w:spacing w:val="0"/>
                <w:sz w:val="14"/>
                <w:szCs w:val="14"/>
              </w:rPr>
            </w:pPr>
          </w:p>
        </w:tc>
      </w:tr>
      <w:tr w14:paraId="4A97011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27571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3</w:t>
            </w:r>
          </w:p>
        </w:tc>
        <w:tc>
          <w:tcPr>
            <w:tcW w:w="920" w:type="dxa"/>
            <w:vMerge w:val="continue"/>
            <w:tcBorders>
              <w:top w:val="nil"/>
              <w:left w:val="single" w:color="000000" w:sz="4" w:space="0"/>
              <w:bottom w:val="single" w:color="000000" w:sz="4" w:space="0"/>
              <w:right w:val="single" w:color="000000" w:sz="4" w:space="0"/>
            </w:tcBorders>
            <w:shd w:val="clear" w:color="auto" w:fill="FFFFFF"/>
            <w:tcMar>
              <w:left w:w="70" w:type="dxa"/>
              <w:right w:w="70" w:type="dxa"/>
            </w:tcMar>
            <w:vAlign w:val="top"/>
          </w:tcPr>
          <w:p w14:paraId="62B0652B">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8518B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自动化</w:t>
            </w:r>
          </w:p>
        </w:tc>
        <w:tc>
          <w:tcPr>
            <w:tcW w:w="288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F02AEF4">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C语言程序设计基础</w:t>
            </w:r>
          </w:p>
        </w:tc>
      </w:tr>
      <w:tr w14:paraId="09A1DD0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219C6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4</w:t>
            </w:r>
          </w:p>
        </w:tc>
        <w:tc>
          <w:tcPr>
            <w:tcW w:w="92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EACA0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信工学院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FBCC2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计算机科学技术</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AFAF8F0">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笔试，专业基础知识考查</w:t>
            </w:r>
          </w:p>
        </w:tc>
      </w:tr>
      <w:tr w14:paraId="05B597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8B41F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5</w:t>
            </w:r>
          </w:p>
        </w:tc>
        <w:tc>
          <w:tcPr>
            <w:tcW w:w="92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5ACD1EB">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DD9B7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网络工程</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D987AE8">
            <w:pPr>
              <w:jc w:val="left"/>
              <w:rPr>
                <w:rFonts w:hint="eastAsia" w:ascii="微软雅黑" w:hAnsi="微软雅黑" w:eastAsia="微软雅黑" w:cs="微软雅黑"/>
                <w:i w:val="0"/>
                <w:iCs w:val="0"/>
                <w:caps w:val="0"/>
                <w:color w:val="6C480D"/>
                <w:spacing w:val="0"/>
                <w:sz w:val="14"/>
                <w:szCs w:val="14"/>
              </w:rPr>
            </w:pPr>
          </w:p>
        </w:tc>
      </w:tr>
      <w:tr w14:paraId="1BAABBC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9CA26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6</w:t>
            </w:r>
          </w:p>
        </w:tc>
        <w:tc>
          <w:tcPr>
            <w:tcW w:w="92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A670A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生环学院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7ABC4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环境科学</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914FD76">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笔试，专业基础知识考查</w:t>
            </w:r>
          </w:p>
        </w:tc>
      </w:tr>
      <w:tr w14:paraId="1823417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39741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7</w:t>
            </w:r>
          </w:p>
        </w:tc>
        <w:tc>
          <w:tcPr>
            <w:tcW w:w="92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BB92E83">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9827A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生物工程</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092BE4A">
            <w:pPr>
              <w:jc w:val="left"/>
              <w:rPr>
                <w:rFonts w:hint="eastAsia" w:ascii="微软雅黑" w:hAnsi="微软雅黑" w:eastAsia="微软雅黑" w:cs="微软雅黑"/>
                <w:i w:val="0"/>
                <w:iCs w:val="0"/>
                <w:caps w:val="0"/>
                <w:color w:val="6C480D"/>
                <w:spacing w:val="0"/>
                <w:sz w:val="14"/>
                <w:szCs w:val="14"/>
              </w:rPr>
            </w:pPr>
          </w:p>
        </w:tc>
      </w:tr>
      <w:tr w14:paraId="7BE3D2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6E8DB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8</w:t>
            </w:r>
          </w:p>
        </w:tc>
        <w:tc>
          <w:tcPr>
            <w:tcW w:w="92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F05DB0E">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90C77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风景园林</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A598269">
            <w:pPr>
              <w:jc w:val="left"/>
              <w:rPr>
                <w:rFonts w:hint="eastAsia" w:ascii="微软雅黑" w:hAnsi="微软雅黑" w:eastAsia="微软雅黑" w:cs="微软雅黑"/>
                <w:i w:val="0"/>
                <w:iCs w:val="0"/>
                <w:caps w:val="0"/>
                <w:color w:val="6C480D"/>
                <w:spacing w:val="0"/>
                <w:sz w:val="14"/>
                <w:szCs w:val="14"/>
              </w:rPr>
            </w:pPr>
          </w:p>
        </w:tc>
      </w:tr>
      <w:tr w14:paraId="7A88633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FF0F0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9</w:t>
            </w:r>
          </w:p>
        </w:tc>
        <w:tc>
          <w:tcPr>
            <w:tcW w:w="92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EA9FC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教育学院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23B23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小学教育</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10C603E">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专业知识技能考查</w:t>
            </w:r>
          </w:p>
          <w:p w14:paraId="21377E3F">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（笔试面试）</w:t>
            </w:r>
          </w:p>
        </w:tc>
      </w:tr>
      <w:tr w14:paraId="6BB02C7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3152B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10</w:t>
            </w:r>
          </w:p>
        </w:tc>
        <w:tc>
          <w:tcPr>
            <w:tcW w:w="92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572E7EE">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F8B3A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学前教育</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4C89A57">
            <w:pPr>
              <w:jc w:val="left"/>
              <w:rPr>
                <w:rFonts w:hint="eastAsia" w:ascii="微软雅黑" w:hAnsi="微软雅黑" w:eastAsia="微软雅黑" w:cs="微软雅黑"/>
                <w:i w:val="0"/>
                <w:iCs w:val="0"/>
                <w:caps w:val="0"/>
                <w:color w:val="6C480D"/>
                <w:spacing w:val="0"/>
                <w:sz w:val="14"/>
                <w:szCs w:val="14"/>
              </w:rPr>
            </w:pPr>
          </w:p>
        </w:tc>
      </w:tr>
      <w:tr w14:paraId="5BFA03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7241A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11</w:t>
            </w:r>
          </w:p>
        </w:tc>
        <w:tc>
          <w:tcPr>
            <w:tcW w:w="92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F5E94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外语学院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D594C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英语</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BC4EBCB">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笔试，专业基础知识考查和口语面试</w:t>
            </w:r>
          </w:p>
        </w:tc>
      </w:tr>
      <w:tr w14:paraId="708A22B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CBAC2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12</w:t>
            </w:r>
          </w:p>
        </w:tc>
        <w:tc>
          <w:tcPr>
            <w:tcW w:w="92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C689AFC">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09F74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商务英语</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14F5B73">
            <w:pPr>
              <w:jc w:val="left"/>
              <w:rPr>
                <w:rFonts w:hint="eastAsia" w:ascii="微软雅黑" w:hAnsi="微软雅黑" w:eastAsia="微软雅黑" w:cs="微软雅黑"/>
                <w:i w:val="0"/>
                <w:iCs w:val="0"/>
                <w:caps w:val="0"/>
                <w:color w:val="6C480D"/>
                <w:spacing w:val="0"/>
                <w:sz w:val="14"/>
                <w:szCs w:val="14"/>
              </w:rPr>
            </w:pPr>
          </w:p>
        </w:tc>
      </w:tr>
      <w:tr w14:paraId="6746614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B6D76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13</w:t>
            </w:r>
          </w:p>
        </w:tc>
        <w:tc>
          <w:tcPr>
            <w:tcW w:w="92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6D5AE9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艺术学院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4331A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工艺美术</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1106859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绘图创作</w:t>
            </w:r>
          </w:p>
        </w:tc>
      </w:tr>
      <w:tr w14:paraId="3324D21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6539C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14</w:t>
            </w:r>
          </w:p>
        </w:tc>
        <w:tc>
          <w:tcPr>
            <w:tcW w:w="92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E26CC3F">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729DF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雕塑</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2F708F6">
            <w:pPr>
              <w:jc w:val="left"/>
              <w:rPr>
                <w:rFonts w:hint="eastAsia" w:ascii="微软雅黑" w:hAnsi="微软雅黑" w:eastAsia="微软雅黑" w:cs="微软雅黑"/>
                <w:i w:val="0"/>
                <w:iCs w:val="0"/>
                <w:caps w:val="0"/>
                <w:color w:val="6C480D"/>
                <w:spacing w:val="0"/>
                <w:sz w:val="14"/>
                <w:szCs w:val="14"/>
              </w:rPr>
            </w:pPr>
          </w:p>
        </w:tc>
      </w:tr>
      <w:tr w14:paraId="2E085EC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2D35A1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15</w:t>
            </w:r>
          </w:p>
        </w:tc>
        <w:tc>
          <w:tcPr>
            <w:tcW w:w="920" w:type="dxa"/>
            <w:vMerge w:val="restart"/>
            <w:tcBorders>
              <w:top w:val="nil"/>
              <w:left w:val="single" w:color="000000" w:sz="4" w:space="0"/>
              <w:bottom w:val="single" w:color="000000" w:sz="4" w:space="0"/>
              <w:right w:val="single" w:color="000000" w:sz="4" w:space="0"/>
            </w:tcBorders>
            <w:shd w:val="clear" w:color="auto" w:fill="FFFFFF"/>
            <w:tcMar>
              <w:left w:w="70" w:type="dxa"/>
              <w:right w:w="70" w:type="dxa"/>
            </w:tcMar>
            <w:vAlign w:val="top"/>
          </w:tcPr>
          <w:p w14:paraId="244E85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经管学院</w:t>
            </w: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F9A78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酒店管理</w:t>
            </w:r>
          </w:p>
        </w:tc>
        <w:tc>
          <w:tcPr>
            <w:tcW w:w="2880" w:type="dxa"/>
            <w:vMerge w:val="restart"/>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0BCAFA60">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0" w:lineRule="atLeast"/>
              <w:ind w:left="0" w:right="0"/>
              <w:jc w:val="left"/>
              <w:textAlignment w:val="center"/>
            </w:pPr>
            <w:r>
              <w:rPr>
                <w:rFonts w:hint="eastAsia" w:ascii="仿宋" w:hAnsi="仿宋" w:eastAsia="仿宋" w:cs="仿宋"/>
                <w:i w:val="0"/>
                <w:iCs w:val="0"/>
                <w:caps w:val="0"/>
                <w:color w:val="6C480D"/>
                <w:spacing w:val="0"/>
                <w:sz w:val="19"/>
                <w:szCs w:val="19"/>
                <w:bdr w:val="none" w:color="auto" w:sz="0" w:space="0"/>
              </w:rPr>
              <w:t>笔试，专业知识应用考查</w:t>
            </w:r>
          </w:p>
        </w:tc>
      </w:tr>
      <w:tr w14:paraId="5D664A2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565F46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16</w:t>
            </w:r>
          </w:p>
        </w:tc>
        <w:tc>
          <w:tcPr>
            <w:tcW w:w="920" w:type="dxa"/>
            <w:vMerge w:val="continue"/>
            <w:tcBorders>
              <w:top w:val="nil"/>
              <w:left w:val="single" w:color="000000" w:sz="4" w:space="0"/>
              <w:bottom w:val="single" w:color="000000" w:sz="4" w:space="0"/>
              <w:right w:val="single" w:color="000000" w:sz="4" w:space="0"/>
            </w:tcBorders>
            <w:shd w:val="clear" w:color="auto" w:fill="FFFFFF"/>
            <w:tcMar>
              <w:left w:w="70" w:type="dxa"/>
              <w:right w:w="70" w:type="dxa"/>
            </w:tcMar>
            <w:vAlign w:val="top"/>
          </w:tcPr>
          <w:p w14:paraId="1C429B74">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72E2FB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物流管理</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B8586C4">
            <w:pPr>
              <w:jc w:val="left"/>
              <w:rPr>
                <w:rFonts w:hint="eastAsia" w:ascii="微软雅黑" w:hAnsi="微软雅黑" w:eastAsia="微软雅黑" w:cs="微软雅黑"/>
                <w:i w:val="0"/>
                <w:iCs w:val="0"/>
                <w:caps w:val="0"/>
                <w:color w:val="6C480D"/>
                <w:spacing w:val="0"/>
                <w:sz w:val="14"/>
                <w:szCs w:val="14"/>
              </w:rPr>
            </w:pPr>
          </w:p>
        </w:tc>
      </w:tr>
      <w:tr w14:paraId="63AD068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0" w:hRule="atLeast"/>
        </w:trPr>
        <w:tc>
          <w:tcPr>
            <w:tcW w:w="57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066AF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17</w:t>
            </w:r>
          </w:p>
        </w:tc>
        <w:tc>
          <w:tcPr>
            <w:tcW w:w="920" w:type="dxa"/>
            <w:vMerge w:val="continue"/>
            <w:tcBorders>
              <w:top w:val="nil"/>
              <w:left w:val="single" w:color="000000" w:sz="4" w:space="0"/>
              <w:bottom w:val="single" w:color="000000" w:sz="4" w:space="0"/>
              <w:right w:val="single" w:color="000000" w:sz="4" w:space="0"/>
            </w:tcBorders>
            <w:shd w:val="clear" w:color="auto" w:fill="FFFFFF"/>
            <w:tcMar>
              <w:left w:w="70" w:type="dxa"/>
              <w:right w:w="70" w:type="dxa"/>
            </w:tcMar>
            <w:vAlign w:val="top"/>
          </w:tcPr>
          <w:p w14:paraId="060BFD86">
            <w:pPr>
              <w:jc w:val="left"/>
              <w:rPr>
                <w:rFonts w:hint="eastAsia" w:ascii="微软雅黑" w:hAnsi="微软雅黑" w:eastAsia="微软雅黑" w:cs="微软雅黑"/>
                <w:i w:val="0"/>
                <w:iCs w:val="0"/>
                <w:caps w:val="0"/>
                <w:color w:val="6C480D"/>
                <w:spacing w:val="0"/>
                <w:sz w:val="14"/>
                <w:szCs w:val="14"/>
              </w:rPr>
            </w:pPr>
          </w:p>
        </w:tc>
        <w:tc>
          <w:tcPr>
            <w:tcW w:w="1910" w:type="dxa"/>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30FA50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textAlignment w:val="center"/>
            </w:pPr>
            <w:r>
              <w:rPr>
                <w:rFonts w:hint="eastAsia" w:ascii="仿宋" w:hAnsi="仿宋" w:eastAsia="仿宋" w:cs="仿宋"/>
                <w:i w:val="0"/>
                <w:iCs w:val="0"/>
                <w:caps w:val="0"/>
                <w:color w:val="6C480D"/>
                <w:spacing w:val="0"/>
                <w:sz w:val="19"/>
                <w:szCs w:val="19"/>
                <w:bdr w:val="none" w:color="auto" w:sz="0" w:space="0"/>
              </w:rPr>
              <w:t>电子商务</w:t>
            </w:r>
          </w:p>
        </w:tc>
        <w:tc>
          <w:tcPr>
            <w:tcW w:w="2880" w:type="dxa"/>
            <w:vMerge w:val="continue"/>
            <w:tcBorders>
              <w:top w:val="nil"/>
              <w:left w:val="single" w:color="000000" w:sz="4" w:space="0"/>
              <w:bottom w:val="single" w:color="000000" w:sz="4" w:space="0"/>
              <w:right w:val="single" w:color="000000" w:sz="4" w:space="0"/>
            </w:tcBorders>
            <w:shd w:val="clear" w:color="auto" w:fill="FFFFFF"/>
            <w:noWrap/>
            <w:tcMar>
              <w:left w:w="70" w:type="dxa"/>
              <w:right w:w="70" w:type="dxa"/>
            </w:tcMar>
            <w:vAlign w:val="top"/>
          </w:tcPr>
          <w:p w14:paraId="43B5E50A">
            <w:pPr>
              <w:jc w:val="left"/>
              <w:rPr>
                <w:rFonts w:hint="eastAsia" w:ascii="微软雅黑" w:hAnsi="微软雅黑" w:eastAsia="微软雅黑" w:cs="微软雅黑"/>
                <w:i w:val="0"/>
                <w:iCs w:val="0"/>
                <w:caps w:val="0"/>
                <w:color w:val="6C480D"/>
                <w:spacing w:val="0"/>
                <w:sz w:val="14"/>
                <w:szCs w:val="14"/>
              </w:rPr>
            </w:pPr>
          </w:p>
        </w:tc>
      </w:tr>
    </w:tbl>
    <w:p w14:paraId="01BD48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黑体" w:hAnsi="宋体" w:eastAsia="黑体" w:cs="黑体"/>
          <w:i w:val="0"/>
          <w:iCs w:val="0"/>
          <w:caps w:val="0"/>
          <w:color w:val="6C480D"/>
          <w:spacing w:val="0"/>
          <w:sz w:val="19"/>
          <w:szCs w:val="19"/>
          <w:bdr w:val="none" w:color="auto" w:sz="0" w:space="0"/>
          <w:shd w:val="clear" w:fill="FFFFFF"/>
        </w:rPr>
        <w:t>五、志愿填报</w:t>
      </w:r>
    </w:p>
    <w:p w14:paraId="2D3D14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2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考生须在2月下旬集中填报志愿期间登录省教育考试院网站“专升本管理系统”缴费和填报志愿，选报不超过2个高校免试志愿（符合并拟参加统一考试的考生必须同时填报普通录取的平行志愿）。3月上旬招生高校综合考查结束后，允许补充更改一次免试志愿。</w:t>
      </w:r>
    </w:p>
    <w:p w14:paraId="076063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2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退役大学生士兵按照志愿已被免试录取后不再具有参加统一考试及录取资格。凡符合录取条件的考生，不得以自行放弃为由要求高校退档。</w:t>
      </w:r>
    </w:p>
    <w:p w14:paraId="2D6A2B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2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同时，退役大学生士兵除免试录取的志愿外，还可以根据自身情况选报统一考试科类和统一录取的平行志愿。</w:t>
      </w:r>
    </w:p>
    <w:p w14:paraId="362229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黑体" w:hAnsi="宋体" w:eastAsia="黑体" w:cs="黑体"/>
          <w:i w:val="0"/>
          <w:iCs w:val="0"/>
          <w:caps w:val="0"/>
          <w:color w:val="6C480D"/>
          <w:spacing w:val="0"/>
          <w:sz w:val="19"/>
          <w:szCs w:val="19"/>
          <w:bdr w:val="none" w:color="auto" w:sz="0" w:space="0"/>
          <w:shd w:val="clear" w:fill="FFFFFF"/>
        </w:rPr>
        <w:t>六、录取原则</w:t>
      </w:r>
    </w:p>
    <w:p w14:paraId="547C49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1.省教育考试院依据招生高校综合评价合格名单及退役大学生士兵填报的志愿，按照梯度志愿顺序投档由高校择优录取。进档考生依据考生参加综合评价的成绩由高分到低分排序择优录取。如有同分的情况，则按照校内考查分、服役期间的表现分、专科阶段的学习分的单科成绩顺序排序。</w:t>
      </w:r>
    </w:p>
    <w:p w14:paraId="3AF12B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2.如本校相关专业未录满，则在规定时间内按照公布的缺额计划征集志愿。未能录取的退役大学生士兵（须为我校综合评价合格考生），可在规定时间内网上填报1个缺额征集志愿。征集志愿投档、录取参照梯度志愿原则执行。</w:t>
      </w:r>
    </w:p>
    <w:p w14:paraId="07DB26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黑体" w:hAnsi="宋体" w:eastAsia="黑体" w:cs="黑体"/>
          <w:i w:val="0"/>
          <w:iCs w:val="0"/>
          <w:caps w:val="0"/>
          <w:color w:val="6C480D"/>
          <w:spacing w:val="0"/>
          <w:sz w:val="19"/>
          <w:szCs w:val="19"/>
          <w:bdr w:val="none" w:color="auto" w:sz="0" w:space="0"/>
          <w:shd w:val="clear" w:fill="FFFFFF"/>
        </w:rPr>
        <w:t>七、组织机构</w:t>
      </w:r>
    </w:p>
    <w:p w14:paraId="4C45D6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1.学校成立2025年专升本招生工作领导小组，全面负责学校2025年专升本招生工作，制定2025年专升本招生工作政策，决定有关2025年专升本招生的重大事宜。</w:t>
      </w:r>
    </w:p>
    <w:p w14:paraId="0BEA8A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2.学校招生工作办公室是组织和实施2025年专升本招生工作的常设机构，具体负责学校日常2025年专升本招生工作。未授权或委托任何中介（培训）机构或个人开展2025年专升本招生活动。</w:t>
      </w:r>
    </w:p>
    <w:p w14:paraId="5AD224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3.学校纪检部门对2025年专升本招生工作实施监督，负责监督招生工作各项政策和规定的落实，维护广大考生和学校的合法权益。监督电话：0798-8382340</w:t>
      </w:r>
    </w:p>
    <w:p w14:paraId="37B795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黑体" w:hAnsi="宋体" w:eastAsia="黑体" w:cs="黑体"/>
          <w:i w:val="0"/>
          <w:iCs w:val="0"/>
          <w:caps w:val="0"/>
          <w:color w:val="6C480D"/>
          <w:spacing w:val="0"/>
          <w:sz w:val="19"/>
          <w:szCs w:val="19"/>
          <w:bdr w:val="none" w:color="auto" w:sz="0" w:space="0"/>
          <w:shd w:val="clear" w:fill="FFFFFF"/>
        </w:rPr>
        <w:t>八、其它事项</w:t>
      </w:r>
    </w:p>
    <w:p w14:paraId="4237F2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1.对考生的资格审查贯穿专升本考试录取工作全过程。</w:t>
      </w:r>
    </w:p>
    <w:p w14:paraId="32CE0A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2.个人提交的材料要保证真实性，一旦发现弄虚作假的行为将直接取消个人成绩。</w:t>
      </w:r>
    </w:p>
    <w:p w14:paraId="35D54D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3.保证联系电话的正确和畅通，如因联系不上而造成的影响由本人负责。</w:t>
      </w:r>
    </w:p>
    <w:p w14:paraId="7CCD0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4.考查结果通过学校官网之教务处专升本栏目发布。 </w:t>
      </w:r>
    </w:p>
    <w:p w14:paraId="3AE67E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370" w:right="0" w:firstLine="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​5.信息发布平台：http://jwc.jdzu.edu.cn/news-list-zisjbpkisf.html</w:t>
      </w:r>
    </w:p>
    <w:p w14:paraId="3C0352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6.咨询电话：0798--8334044、2603635  </w:t>
      </w:r>
    </w:p>
    <w:p w14:paraId="6495DE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7.联系人：范老师</w:t>
      </w:r>
    </w:p>
    <w:p w14:paraId="51913B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37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8.学校地址：景德镇市浮梁大道3号</w:t>
      </w:r>
    </w:p>
    <w:p w14:paraId="7BD372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宋体" w:hAnsi="宋体" w:eastAsia="宋体" w:cs="宋体"/>
          <w:i w:val="0"/>
          <w:iCs w:val="0"/>
          <w:caps w:val="0"/>
          <w:color w:val="6C480D"/>
          <w:spacing w:val="0"/>
          <w:sz w:val="19"/>
          <w:szCs w:val="19"/>
          <w:bdr w:val="none" w:color="auto" w:sz="0" w:space="0"/>
          <w:shd w:val="clear" w:fill="FFFFFF"/>
        </w:rPr>
        <w:t> </w:t>
      </w:r>
    </w:p>
    <w:p w14:paraId="12A816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宋体" w:hAnsi="宋体" w:eastAsia="宋体" w:cs="宋体"/>
          <w:i w:val="0"/>
          <w:iCs w:val="0"/>
          <w:caps w:val="0"/>
          <w:color w:val="6C480D"/>
          <w:spacing w:val="0"/>
          <w:sz w:val="19"/>
          <w:szCs w:val="19"/>
          <w:bdr w:val="none" w:color="auto" w:sz="0" w:space="0"/>
          <w:shd w:val="clear" w:fill="FFFFFF"/>
        </w:rPr>
        <w:t> </w:t>
      </w:r>
    </w:p>
    <w:p w14:paraId="4D94C7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宋体" w:hAnsi="宋体" w:eastAsia="宋体" w:cs="宋体"/>
          <w:i w:val="0"/>
          <w:iCs w:val="0"/>
          <w:caps w:val="0"/>
          <w:color w:val="6C480D"/>
          <w:spacing w:val="0"/>
          <w:sz w:val="19"/>
          <w:szCs w:val="19"/>
          <w:bdr w:val="none" w:color="auto" w:sz="0" w:space="0"/>
          <w:shd w:val="clear" w:fill="FFFFFF"/>
        </w:rPr>
        <w:t> </w:t>
      </w:r>
    </w:p>
    <w:p w14:paraId="60DBC9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宋体" w:hAnsi="宋体" w:eastAsia="宋体" w:cs="宋体"/>
          <w:i w:val="0"/>
          <w:iCs w:val="0"/>
          <w:caps w:val="0"/>
          <w:color w:val="6C480D"/>
          <w:spacing w:val="0"/>
          <w:sz w:val="19"/>
          <w:szCs w:val="19"/>
          <w:bdr w:val="none" w:color="auto" w:sz="0" w:space="0"/>
          <w:shd w:val="clear" w:fill="FFFFFF"/>
        </w:rPr>
        <w:t>                                   </w:t>
      </w:r>
      <w:r>
        <w:rPr>
          <w:rFonts w:hint="eastAsia" w:ascii="仿宋" w:hAnsi="仿宋" w:eastAsia="仿宋" w:cs="仿宋"/>
          <w:i w:val="0"/>
          <w:iCs w:val="0"/>
          <w:caps w:val="0"/>
          <w:color w:val="6C480D"/>
          <w:spacing w:val="0"/>
          <w:sz w:val="19"/>
          <w:szCs w:val="19"/>
          <w:bdr w:val="none" w:color="auto" w:sz="0" w:space="0"/>
          <w:shd w:val="clear" w:fill="FFFFFF"/>
        </w:rPr>
        <w:t>景德镇学院  </w:t>
      </w:r>
    </w:p>
    <w:p w14:paraId="5E7130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righ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19"/>
          <w:szCs w:val="19"/>
          <w:bdr w:val="none" w:color="auto" w:sz="0" w:space="0"/>
          <w:shd w:val="clear" w:fill="FFFFFF"/>
        </w:rPr>
        <w:t>二〇二五年元月二十三日</w:t>
      </w:r>
      <w:r>
        <w:rPr>
          <w:rFonts w:hint="eastAsia" w:ascii="宋体" w:hAnsi="宋体" w:eastAsia="宋体" w:cs="宋体"/>
          <w:i w:val="0"/>
          <w:iCs w:val="0"/>
          <w:caps w:val="0"/>
          <w:color w:val="6C480D"/>
          <w:spacing w:val="0"/>
          <w:sz w:val="19"/>
          <w:szCs w:val="19"/>
          <w:bdr w:val="none" w:color="auto" w:sz="0" w:space="0"/>
          <w:shd w:val="clear" w:fill="FFFFFF"/>
        </w:rPr>
        <w:t>  </w:t>
      </w:r>
    </w:p>
    <w:p w14:paraId="334536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宋体" w:hAnsi="宋体" w:eastAsia="宋体" w:cs="宋体"/>
          <w:i w:val="0"/>
          <w:iCs w:val="0"/>
          <w:caps w:val="0"/>
          <w:color w:val="6C480D"/>
          <w:spacing w:val="0"/>
          <w:sz w:val="19"/>
          <w:szCs w:val="19"/>
          <w:bdr w:val="none" w:color="auto" w:sz="0" w:space="0"/>
          <w:shd w:val="clear" w:fill="FFFFFF"/>
        </w:rPr>
        <w:t> </w:t>
      </w:r>
    </w:p>
    <w:p w14:paraId="06E5AC7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486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2025-02-17T03:26:27Z</dcterms:created>
  <dc:creator>DELL</dc:creator>
  <cp:lastModifiedBy>长乐</cp:lastModifiedBy>
  <dcterms:modified xsi:type="dcterms:W3CDTF">2025-02-17T03:26:30Z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8D40AFA848E04FA3BBEC5F23959CF6B0_12</vt:lpwstr>
  </property>
</Properties>
</file>