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53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0" w:beforeAutospacing="0" w:after="0" w:afterAutospacing="0" w:line="280" w:lineRule="atLeast"/>
        <w:ind w:left="0" w:right="0"/>
        <w:jc w:val="center"/>
        <w:rPr>
          <w:b w:val="0"/>
          <w:bCs w:val="0"/>
          <w:color w:val="E31E1E"/>
          <w:sz w:val="24"/>
          <w:szCs w:val="24"/>
        </w:rPr>
      </w:pPr>
      <w:r>
        <w:rPr>
          <w:b w:val="0"/>
          <w:bCs w:val="0"/>
          <w:i w:val="0"/>
          <w:iCs w:val="0"/>
          <w:caps w:val="0"/>
          <w:color w:val="E31E1E"/>
          <w:spacing w:val="0"/>
          <w:sz w:val="24"/>
          <w:szCs w:val="24"/>
          <w:bdr w:val="none" w:color="auto" w:sz="0" w:space="0"/>
        </w:rPr>
        <w:t>江西应用科技学院2025年普通高等学校专升本考试招生简章</w:t>
      </w:r>
    </w:p>
    <w:p w14:paraId="6970A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ind w:left="0" w:right="0"/>
        <w:jc w:val="center"/>
        <w:rPr>
          <w:color w:val="999999"/>
          <w:sz w:val="14"/>
          <w:szCs w:val="14"/>
        </w:rPr>
      </w:pPr>
      <w:r>
        <w:rPr>
          <w:rFonts w:ascii="微软雅黑" w:hAnsi="微软雅黑" w:eastAsia="微软雅黑" w:cs="微软雅黑"/>
          <w:i w:val="0"/>
          <w:iCs w:val="0"/>
          <w:caps w:val="0"/>
          <w:color w:val="999999"/>
          <w:spacing w:val="0"/>
          <w:sz w:val="14"/>
          <w:szCs w:val="14"/>
          <w:bdr w:val="none" w:color="auto" w:sz="0" w:space="0"/>
        </w:rPr>
        <w:t>作者： 时间：2025-02-16 点击数：</w:t>
      </w:r>
      <w:r>
        <w:rPr>
          <w:rFonts w:hint="eastAsia" w:ascii="微软雅黑" w:hAnsi="微软雅黑" w:eastAsia="微软雅黑" w:cs="微软雅黑"/>
          <w:i w:val="0"/>
          <w:iCs w:val="0"/>
          <w:caps w:val="0"/>
          <w:color w:val="999999"/>
          <w:spacing w:val="0"/>
          <w:sz w:val="14"/>
          <w:szCs w:val="14"/>
          <w:bdr w:val="none" w:color="auto" w:sz="0" w:space="0"/>
        </w:rPr>
        <w:t>78</w:t>
      </w:r>
    </w:p>
    <w:p w14:paraId="39DE2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ascii="仿宋" w:hAnsi="仿宋" w:eastAsia="仿宋" w:cs="仿宋"/>
          <w:i w:val="0"/>
          <w:iCs w:val="0"/>
          <w:caps w:val="0"/>
          <w:color w:val="666666"/>
          <w:spacing w:val="0"/>
          <w:sz w:val="19"/>
          <w:szCs w:val="19"/>
          <w:bdr w:val="none" w:color="auto" w:sz="0" w:space="0"/>
        </w:rPr>
        <w:t>江西应用科技学院始建于</w:t>
      </w:r>
      <w:r>
        <w:rPr>
          <w:rFonts w:hint="eastAsia" w:ascii="仿宋" w:hAnsi="仿宋" w:eastAsia="仿宋" w:cs="仿宋"/>
          <w:i w:val="0"/>
          <w:iCs w:val="0"/>
          <w:caps w:val="0"/>
          <w:color w:val="666666"/>
          <w:spacing w:val="0"/>
          <w:sz w:val="19"/>
          <w:szCs w:val="19"/>
          <w:bdr w:val="none" w:color="auto" w:sz="0" w:space="0"/>
        </w:rPr>
        <w:t>1984年，是经国家教育部批准设置的具有独立颁发国家高等教育学历资格的全日制民办普通本科高校。</w:t>
      </w:r>
    </w:p>
    <w:p w14:paraId="4A576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学校始终秉承为党育人，为国育才的初心使命，贯彻党的教育方针，围绕立德树人的根本任务，坚持实施“健全人格+复合知识+实践能力”的三元育人校本理念，铸就了“追求卓越、众志成城”的校园精神，确定了“近知、近仁、近勇”的校训，确立了“质量立校、人才强校、文化铸校、特色兴校”的发展战略，逐步培育了“人文求善、学术求真、艺术求美、诗意求品”的校园文化风格。学校不断更新思想观念，优化办学条件，深化教学改革，细化教学管理，办学水平、综合实力持续提升。</w:t>
      </w:r>
    </w:p>
    <w:p w14:paraId="506CA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学校设有未来技术学院、智造学院、建筑学院、宝石矿物资源学院、经济管理学院、商学院、教育学院、艺术设计学院、音乐学院、马克思主义学院、继续教育学院、公共教学部、创新创业学院等13个教学单位。现有全日制在校生19000余人，形成了以工学、管理学、艺术学、教育学、经济学、文学等多学科协调发展的专业布局。目前拥有省级一流本科专业建设点2个，省级特色专业1个，省级四星级专业点1个，省级人才培养模式创新实验区1个。</w:t>
      </w:r>
    </w:p>
    <w:p w14:paraId="06662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学校占地面积110.56万平方米。馆藏纸质图书168.67万册，电子图书146.7万册。学校注重开放办学，借力发展。一是深化校企合作。与阿里巴巴集团、华为技术有限公司、大族激光智能装备集团有限公司、用友集团等企业共建了阿里巴巴数字贸易产业学院、华为鲲鹏产业学院、大族激光3D打印产业学院、用友新道数字财经产业学院、无人机产业学院和电子信息产业学院（龙南）6个产业学院。入选教育部产学合作协同育人项目29项。二是加强校校合作。与浙江大学、南昌大学、南昌航空大学等高校实行“民办公助、对口帮扶”合作模式，开展师资队伍建设、学科专业建设、课程建设等方面合作。三是拓展国际合作。与英国基尔大学合作举办“大数据与会计”“大数据与财务管理”等专业。</w:t>
      </w:r>
    </w:p>
    <w:p w14:paraId="391732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学校坚持办学至今，已累计为社会培养逾16万余名各类毕业生，为地方经济建设和社会发展做出了积极贡献。先后荣获“全国五四红旗团委”“江西省优秀学院”“江西省高校思想政治教育工作先进集体”“江西省高校毕业生就业工作优秀等级学校”“江西省平安建设先进单位”“江西省征兵工作先进单位”等荣誉。</w:t>
      </w:r>
    </w:p>
    <w:p w14:paraId="5380C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一、招生对象</w:t>
      </w:r>
    </w:p>
    <w:p w14:paraId="083D8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遵守中华人民共和国宪法和法律，身体状况符合相关要求并具备如下条件之一的可以报名：</w:t>
      </w:r>
    </w:p>
    <w:p w14:paraId="1510A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（一）江西省普通高职（专科）应届毕业生，且在2025年7月31日前可取得毕业证的考生。</w:t>
      </w:r>
    </w:p>
    <w:p w14:paraId="194F3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（二）已退役大学生士兵（含2025年3月退役大学生士兵）在2025年7月31日前可取得或已取得毕业证的，且符合下列条件之一：</w:t>
      </w:r>
    </w:p>
    <w:p w14:paraId="69208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1.江西省普通高职（专科）学生在校期间或毕业后应征入伍。</w:t>
      </w:r>
    </w:p>
    <w:p w14:paraId="5F28B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2.外省普通高职（专科）学生在校期间或毕业后，在江西应征入伍。</w:t>
      </w:r>
    </w:p>
    <w:p w14:paraId="48AEF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二、</w:t>
      </w:r>
      <w:r>
        <w:rPr>
          <w:rStyle w:val="6"/>
          <w:rFonts w:hint="eastAsia" w:ascii="仿宋" w:hAnsi="仿宋" w:eastAsia="仿宋" w:cs="仿宋"/>
          <w:i w:val="0"/>
          <w:iCs w:val="0"/>
          <w:caps w:val="0"/>
          <w:color w:val="666666"/>
          <w:spacing w:val="0"/>
          <w:sz w:val="19"/>
          <w:szCs w:val="19"/>
          <w:bdr w:val="none" w:color="auto" w:sz="0" w:space="0"/>
        </w:rPr>
        <w:t>报名条件</w:t>
      </w:r>
    </w:p>
    <w:p w14:paraId="3D5473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（一）考生（含免试生）报名需同时满足以下基本条件。其中，条件4只适用于退役大学生士兵。</w:t>
      </w:r>
    </w:p>
    <w:p w14:paraId="086BA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1.遵守《中华人民共和国宪法》及其他法律法规。</w:t>
      </w:r>
    </w:p>
    <w:p w14:paraId="2A49C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2.身体健康，各专业身体要求按教育部等三部委印发的《普通高等学校招生体检工作指导意见》执行。</w:t>
      </w:r>
    </w:p>
    <w:p w14:paraId="0983B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3.普通高职（专科）学习期间无记过及以上纪律处分，或受到纪律处分但报名前已解除处分的。</w:t>
      </w:r>
    </w:p>
    <w:p w14:paraId="5130E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4.在入伍期间和退役后工作学习期间，无记过及以上纪律处分，或受到纪律处分但报名前已解除处分的。</w:t>
      </w:r>
    </w:p>
    <w:p w14:paraId="1D3EB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（二）专项考生（含免试生）在满足以上基本条件的同时，还需满足专项计划所规定的条件。</w:t>
      </w:r>
    </w:p>
    <w:p w14:paraId="5D79C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210" w:afterAutospacing="0" w:line="37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三、招生专业及计划（院校代码：8240）</w:t>
      </w:r>
    </w:p>
    <w:tbl>
      <w:tblPr>
        <w:tblW w:w="7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530"/>
        <w:gridCol w:w="780"/>
        <w:gridCol w:w="521"/>
        <w:gridCol w:w="991"/>
        <w:gridCol w:w="421"/>
        <w:gridCol w:w="521"/>
        <w:gridCol w:w="350"/>
        <w:gridCol w:w="491"/>
        <w:gridCol w:w="471"/>
        <w:gridCol w:w="441"/>
        <w:gridCol w:w="451"/>
        <w:gridCol w:w="1282"/>
      </w:tblGrid>
      <w:tr w14:paraId="594F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450" w:type="dxa"/>
            <w:vMerge w:val="restart"/>
            <w:tcBorders>
              <w:top w:val="single" w:color="000000" w:sz="4" w:space="0"/>
              <w:left w:val="single" w:color="000000" w:sz="4" w:space="0"/>
              <w:bottom w:val="nil"/>
              <w:right w:val="single" w:color="000000" w:sz="4" w:space="0"/>
            </w:tcBorders>
            <w:shd w:val="clear"/>
            <w:noWrap/>
            <w:tcMar>
              <w:left w:w="70" w:type="dxa"/>
              <w:right w:w="70" w:type="dxa"/>
            </w:tcMar>
            <w:vAlign w:val="center"/>
          </w:tcPr>
          <w:p w14:paraId="2DFFF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序号</w:t>
            </w:r>
          </w:p>
        </w:tc>
        <w:tc>
          <w:tcPr>
            <w:tcW w:w="53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6AE9D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门类</w:t>
            </w:r>
          </w:p>
        </w:tc>
        <w:tc>
          <w:tcPr>
            <w:tcW w:w="78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6631E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专业类</w:t>
            </w:r>
          </w:p>
        </w:tc>
        <w:tc>
          <w:tcPr>
            <w:tcW w:w="52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7F8CD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专业</w:t>
            </w:r>
          </w:p>
          <w:p w14:paraId="45DBA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代码</w:t>
            </w:r>
          </w:p>
        </w:tc>
        <w:tc>
          <w:tcPr>
            <w:tcW w:w="99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7ED18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专业名称</w:t>
            </w:r>
          </w:p>
        </w:tc>
        <w:tc>
          <w:tcPr>
            <w:tcW w:w="42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1B19E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学制</w:t>
            </w:r>
          </w:p>
        </w:tc>
        <w:tc>
          <w:tcPr>
            <w:tcW w:w="52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6B271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bdr w:val="none" w:color="auto" w:sz="0" w:space="0"/>
              </w:rPr>
              <w:t>学费标准</w:t>
            </w:r>
            <w:r>
              <w:rPr>
                <w:rStyle w:val="6"/>
                <w:rFonts w:hint="eastAsia" w:ascii="宋体" w:hAnsi="宋体" w:eastAsia="宋体" w:cs="宋体"/>
                <w:sz w:val="9"/>
                <w:szCs w:val="9"/>
                <w:bdr w:val="none" w:color="auto" w:sz="0" w:space="0"/>
              </w:rPr>
              <w:t>（元/年）</w:t>
            </w:r>
          </w:p>
        </w:tc>
        <w:tc>
          <w:tcPr>
            <w:tcW w:w="35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0E7A9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总计划</w:t>
            </w:r>
          </w:p>
        </w:tc>
        <w:tc>
          <w:tcPr>
            <w:tcW w:w="49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6DBB0F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普通计划</w:t>
            </w:r>
          </w:p>
        </w:tc>
        <w:tc>
          <w:tcPr>
            <w:tcW w:w="470" w:type="dxa"/>
            <w:vMerge w:val="restart"/>
            <w:tcBorders>
              <w:top w:val="single" w:color="000000" w:sz="4" w:space="0"/>
              <w:left w:val="nil"/>
              <w:bottom w:val="nil"/>
              <w:right w:val="single" w:color="auto" w:sz="4" w:space="0"/>
            </w:tcBorders>
            <w:shd w:val="clear"/>
            <w:noWrap/>
            <w:tcMar>
              <w:left w:w="70" w:type="dxa"/>
              <w:right w:w="70" w:type="dxa"/>
            </w:tcMar>
            <w:vAlign w:val="center"/>
          </w:tcPr>
          <w:p w14:paraId="5CB11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免试计划</w:t>
            </w:r>
          </w:p>
        </w:tc>
        <w:tc>
          <w:tcPr>
            <w:tcW w:w="890" w:type="dxa"/>
            <w:gridSpan w:val="2"/>
            <w:tcBorders>
              <w:top w:val="single" w:color="auto" w:sz="4" w:space="0"/>
              <w:left w:val="nil"/>
              <w:bottom w:val="single" w:color="auto" w:sz="4" w:space="0"/>
              <w:right w:val="single" w:color="auto" w:sz="4" w:space="0"/>
            </w:tcBorders>
            <w:shd w:val="clear"/>
            <w:noWrap/>
            <w:tcMar>
              <w:left w:w="70" w:type="dxa"/>
              <w:right w:w="70" w:type="dxa"/>
            </w:tcMar>
            <w:vAlign w:val="center"/>
          </w:tcPr>
          <w:p w14:paraId="545F6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textAlignment w:val="center"/>
            </w:pPr>
            <w:r>
              <w:rPr>
                <w:rStyle w:val="6"/>
                <w:sz w:val="15"/>
                <w:szCs w:val="15"/>
                <w:bdr w:val="none" w:color="auto" w:sz="0" w:space="0"/>
              </w:rPr>
              <w:t>专项计划</w:t>
            </w:r>
          </w:p>
        </w:tc>
        <w:tc>
          <w:tcPr>
            <w:tcW w:w="1280" w:type="dxa"/>
            <w:vMerge w:val="restart"/>
            <w:tcBorders>
              <w:top w:val="single" w:color="000000" w:sz="4" w:space="0"/>
              <w:left w:val="nil"/>
              <w:bottom w:val="nil"/>
              <w:right w:val="single" w:color="000000" w:sz="4" w:space="0"/>
            </w:tcBorders>
            <w:shd w:val="clear"/>
            <w:noWrap/>
            <w:tcMar>
              <w:left w:w="70" w:type="dxa"/>
              <w:right w:w="70" w:type="dxa"/>
            </w:tcMar>
            <w:vAlign w:val="center"/>
          </w:tcPr>
          <w:p w14:paraId="78660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bdr w:val="none" w:color="auto" w:sz="0" w:space="0"/>
              </w:rPr>
              <w:t>学习地点</w:t>
            </w:r>
          </w:p>
        </w:tc>
      </w:tr>
      <w:tr w14:paraId="2786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trPr>
        <w:tc>
          <w:tcPr>
            <w:tcW w:w="450" w:type="dxa"/>
            <w:vMerge w:val="continue"/>
            <w:tcBorders>
              <w:top w:val="single" w:color="000000" w:sz="4" w:space="0"/>
              <w:left w:val="single" w:color="000000" w:sz="4" w:space="0"/>
              <w:bottom w:val="nil"/>
              <w:right w:val="single" w:color="000000" w:sz="4" w:space="0"/>
            </w:tcBorders>
            <w:shd w:val="clear"/>
            <w:noWrap/>
            <w:tcMar>
              <w:left w:w="70" w:type="dxa"/>
              <w:right w:w="70" w:type="dxa"/>
            </w:tcMar>
            <w:vAlign w:val="center"/>
          </w:tcPr>
          <w:p w14:paraId="62428519">
            <w:pPr>
              <w:rPr>
                <w:rFonts w:hint="eastAsia" w:ascii="宋体"/>
                <w:sz w:val="24"/>
                <w:szCs w:val="24"/>
              </w:rPr>
            </w:pPr>
          </w:p>
        </w:tc>
        <w:tc>
          <w:tcPr>
            <w:tcW w:w="53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5DDEB8F8">
            <w:pPr>
              <w:rPr>
                <w:rFonts w:hint="eastAsia" w:ascii="宋体"/>
                <w:sz w:val="24"/>
                <w:szCs w:val="24"/>
              </w:rPr>
            </w:pPr>
          </w:p>
        </w:tc>
        <w:tc>
          <w:tcPr>
            <w:tcW w:w="78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02137342">
            <w:pPr>
              <w:rPr>
                <w:rFonts w:hint="eastAsia" w:ascii="宋体"/>
                <w:sz w:val="24"/>
                <w:szCs w:val="24"/>
              </w:rPr>
            </w:pPr>
          </w:p>
        </w:tc>
        <w:tc>
          <w:tcPr>
            <w:tcW w:w="52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1E03DCBA">
            <w:pPr>
              <w:rPr>
                <w:rFonts w:hint="eastAsia" w:ascii="宋体"/>
                <w:sz w:val="24"/>
                <w:szCs w:val="24"/>
              </w:rPr>
            </w:pPr>
          </w:p>
        </w:tc>
        <w:tc>
          <w:tcPr>
            <w:tcW w:w="99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58EF331C">
            <w:pPr>
              <w:rPr>
                <w:rFonts w:hint="eastAsia" w:ascii="宋体"/>
                <w:sz w:val="24"/>
                <w:szCs w:val="24"/>
              </w:rPr>
            </w:pPr>
          </w:p>
        </w:tc>
        <w:tc>
          <w:tcPr>
            <w:tcW w:w="42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06606A2C">
            <w:pPr>
              <w:rPr>
                <w:rFonts w:hint="eastAsia" w:ascii="宋体"/>
                <w:sz w:val="24"/>
                <w:szCs w:val="24"/>
              </w:rPr>
            </w:pPr>
          </w:p>
        </w:tc>
        <w:tc>
          <w:tcPr>
            <w:tcW w:w="52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0F40B566">
            <w:pPr>
              <w:rPr>
                <w:rFonts w:hint="eastAsia" w:ascii="宋体"/>
                <w:sz w:val="24"/>
                <w:szCs w:val="24"/>
              </w:rPr>
            </w:pPr>
          </w:p>
        </w:tc>
        <w:tc>
          <w:tcPr>
            <w:tcW w:w="35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0B3B7D10">
            <w:pPr>
              <w:rPr>
                <w:rFonts w:hint="eastAsia" w:ascii="宋体"/>
                <w:sz w:val="24"/>
                <w:szCs w:val="24"/>
              </w:rPr>
            </w:pPr>
          </w:p>
        </w:tc>
        <w:tc>
          <w:tcPr>
            <w:tcW w:w="49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6881A0BA">
            <w:pPr>
              <w:rPr>
                <w:rFonts w:hint="eastAsia" w:ascii="宋体"/>
                <w:sz w:val="24"/>
                <w:szCs w:val="24"/>
              </w:rPr>
            </w:pPr>
          </w:p>
        </w:tc>
        <w:tc>
          <w:tcPr>
            <w:tcW w:w="470" w:type="dxa"/>
            <w:vMerge w:val="continue"/>
            <w:tcBorders>
              <w:top w:val="single" w:color="000000" w:sz="4" w:space="0"/>
              <w:left w:val="nil"/>
              <w:bottom w:val="nil"/>
              <w:right w:val="single" w:color="auto" w:sz="4" w:space="0"/>
            </w:tcBorders>
            <w:shd w:val="clear"/>
            <w:noWrap/>
            <w:tcMar>
              <w:left w:w="70" w:type="dxa"/>
              <w:right w:w="70" w:type="dxa"/>
            </w:tcMar>
            <w:vAlign w:val="center"/>
          </w:tcPr>
          <w:p w14:paraId="78AB1A68">
            <w:pPr>
              <w:rPr>
                <w:rFonts w:hint="eastAsia" w:ascii="宋体"/>
                <w:sz w:val="24"/>
                <w:szCs w:val="24"/>
              </w:rPr>
            </w:pPr>
          </w:p>
        </w:tc>
        <w:tc>
          <w:tcPr>
            <w:tcW w:w="440" w:type="dxa"/>
            <w:tcBorders>
              <w:top w:val="nil"/>
              <w:left w:val="nil"/>
              <w:bottom w:val="single" w:color="auto" w:sz="4" w:space="0"/>
              <w:right w:val="single" w:color="auto" w:sz="4" w:space="0"/>
            </w:tcBorders>
            <w:shd w:val="clear"/>
            <w:noWrap/>
            <w:tcMar>
              <w:left w:w="70" w:type="dxa"/>
              <w:right w:w="70" w:type="dxa"/>
            </w:tcMar>
            <w:vAlign w:val="center"/>
          </w:tcPr>
          <w:p w14:paraId="1E6D7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脱贫家庭</w:t>
            </w:r>
          </w:p>
        </w:tc>
        <w:tc>
          <w:tcPr>
            <w:tcW w:w="450" w:type="dxa"/>
            <w:tcBorders>
              <w:top w:val="single" w:color="auto" w:sz="4" w:space="0"/>
              <w:left w:val="nil"/>
              <w:bottom w:val="single" w:color="auto" w:sz="4" w:space="0"/>
              <w:right w:val="single" w:color="auto" w:sz="4" w:space="0"/>
            </w:tcBorders>
            <w:shd w:val="clear"/>
            <w:noWrap/>
            <w:tcMar>
              <w:left w:w="70" w:type="dxa"/>
              <w:right w:w="70" w:type="dxa"/>
            </w:tcMar>
            <w:vAlign w:val="center"/>
          </w:tcPr>
          <w:p w14:paraId="59190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rStyle w:val="6"/>
                <w:sz w:val="15"/>
                <w:szCs w:val="15"/>
                <w:bdr w:val="none" w:color="auto" w:sz="0" w:space="0"/>
              </w:rPr>
              <w:t>获奖学生</w:t>
            </w:r>
          </w:p>
        </w:tc>
        <w:tc>
          <w:tcPr>
            <w:tcW w:w="1280" w:type="dxa"/>
            <w:vMerge w:val="continue"/>
            <w:tcBorders>
              <w:top w:val="single" w:color="000000" w:sz="4" w:space="0"/>
              <w:left w:val="nil"/>
              <w:bottom w:val="nil"/>
              <w:right w:val="single" w:color="000000" w:sz="4" w:space="0"/>
            </w:tcBorders>
            <w:shd w:val="clear"/>
            <w:noWrap/>
            <w:tcMar>
              <w:left w:w="70" w:type="dxa"/>
              <w:right w:w="70" w:type="dxa"/>
            </w:tcMar>
            <w:vAlign w:val="center"/>
          </w:tcPr>
          <w:p w14:paraId="268BA3A0">
            <w:pPr>
              <w:rPr>
                <w:rFonts w:hint="eastAsia" w:ascii="宋体"/>
                <w:sz w:val="24"/>
                <w:szCs w:val="24"/>
              </w:rPr>
            </w:pPr>
          </w:p>
        </w:tc>
      </w:tr>
      <w:tr w14:paraId="18D0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AE1F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490BD1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0AC47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机械类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18FD8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080202</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22073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机械设计制造及其自动化</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4D8DC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single" w:color="000000" w:sz="4" w:space="0"/>
              <w:left w:val="nil"/>
              <w:bottom w:val="single" w:color="000000" w:sz="4" w:space="0"/>
              <w:right w:val="single" w:color="000000" w:sz="4" w:space="0"/>
            </w:tcBorders>
            <w:shd w:val="clear"/>
            <w:noWrap/>
            <w:tcMar>
              <w:left w:w="70" w:type="dxa"/>
              <w:right w:w="70" w:type="dxa"/>
            </w:tcMar>
            <w:vAlign w:val="center"/>
          </w:tcPr>
          <w:p w14:paraId="21EB8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single" w:color="000000" w:sz="4" w:space="0"/>
              <w:left w:val="nil"/>
              <w:bottom w:val="single" w:color="000000" w:sz="4" w:space="0"/>
              <w:right w:val="single" w:color="000000" w:sz="4" w:space="0"/>
            </w:tcBorders>
            <w:shd w:val="clear"/>
            <w:noWrap/>
            <w:tcMar>
              <w:left w:w="70" w:type="dxa"/>
              <w:right w:w="70" w:type="dxa"/>
            </w:tcMar>
            <w:vAlign w:val="center"/>
          </w:tcPr>
          <w:p w14:paraId="0F611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165</w:t>
            </w:r>
          </w:p>
        </w:tc>
        <w:tc>
          <w:tcPr>
            <w:tcW w:w="490" w:type="dxa"/>
            <w:tcBorders>
              <w:top w:val="single" w:color="000000" w:sz="4" w:space="0"/>
              <w:left w:val="nil"/>
              <w:bottom w:val="single" w:color="000000" w:sz="4" w:space="0"/>
              <w:right w:val="single" w:color="000000" w:sz="4" w:space="0"/>
            </w:tcBorders>
            <w:shd w:val="clear"/>
            <w:noWrap/>
            <w:tcMar>
              <w:left w:w="70" w:type="dxa"/>
              <w:right w:w="70" w:type="dxa"/>
            </w:tcMar>
            <w:vAlign w:val="center"/>
          </w:tcPr>
          <w:p w14:paraId="4B7CCD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111</w:t>
            </w:r>
          </w:p>
        </w:tc>
        <w:tc>
          <w:tcPr>
            <w:tcW w:w="470" w:type="dxa"/>
            <w:tcBorders>
              <w:top w:val="single" w:color="000000" w:sz="4" w:space="0"/>
              <w:left w:val="nil"/>
              <w:bottom w:val="single" w:color="000000" w:sz="4" w:space="0"/>
              <w:right w:val="single" w:color="000000" w:sz="4" w:space="0"/>
            </w:tcBorders>
            <w:shd w:val="clear"/>
            <w:noWrap/>
            <w:tcMar>
              <w:left w:w="70" w:type="dxa"/>
              <w:right w:w="70" w:type="dxa"/>
            </w:tcMar>
            <w:vAlign w:val="center"/>
          </w:tcPr>
          <w:p w14:paraId="6CE19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0F468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16</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7B24F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8</w:t>
            </w:r>
          </w:p>
        </w:tc>
        <w:tc>
          <w:tcPr>
            <w:tcW w:w="1280" w:type="dxa"/>
            <w:tcBorders>
              <w:top w:val="single" w:color="000000" w:sz="4" w:space="0"/>
              <w:left w:val="nil"/>
              <w:bottom w:val="single" w:color="000000" w:sz="4" w:space="0"/>
              <w:right w:val="single" w:color="000000" w:sz="4" w:space="0"/>
            </w:tcBorders>
            <w:shd w:val="clear"/>
            <w:noWrap/>
            <w:tcMar>
              <w:left w:w="70" w:type="dxa"/>
              <w:right w:w="70" w:type="dxa"/>
            </w:tcMar>
            <w:vAlign w:val="center"/>
          </w:tcPr>
          <w:p w14:paraId="6C953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0" w:lineRule="atLeast"/>
              <w:ind w:left="0" w:right="0" w:firstLine="0"/>
              <w:jc w:val="center"/>
            </w:pPr>
            <w:r>
              <w:rPr>
                <w:sz w:val="12"/>
                <w:szCs w:val="12"/>
                <w:bdr w:val="none" w:color="auto" w:sz="0" w:space="0"/>
              </w:rPr>
              <w:t>江西应用科技学院电子信息产业学院</w:t>
            </w:r>
          </w:p>
          <w:p w14:paraId="51AFB3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0" w:lineRule="atLeast"/>
              <w:ind w:left="0" w:right="0" w:firstLine="0"/>
              <w:jc w:val="center"/>
            </w:pPr>
            <w:r>
              <w:rPr>
                <w:sz w:val="9"/>
                <w:szCs w:val="9"/>
                <w:bdr w:val="none" w:color="auto" w:sz="0" w:space="0"/>
              </w:rPr>
              <w:t>（部分培养时段在龙南）</w:t>
            </w:r>
          </w:p>
        </w:tc>
      </w:tr>
      <w:tr w14:paraId="2887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1D8D3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22805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noWrap/>
            <w:tcMar>
              <w:left w:w="70" w:type="dxa"/>
              <w:right w:w="70" w:type="dxa"/>
            </w:tcMar>
            <w:vAlign w:val="center"/>
          </w:tcPr>
          <w:p w14:paraId="748E0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电子信息类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1A5A2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080701</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1DA3D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电子信息工程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6AE46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6BB6E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07D07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165</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01CC2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111</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36660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24F50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16</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2B896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8</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13464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0" w:lineRule="atLeast"/>
              <w:ind w:left="0" w:right="0" w:firstLine="0"/>
              <w:jc w:val="center"/>
            </w:pPr>
            <w:r>
              <w:rPr>
                <w:sz w:val="12"/>
                <w:szCs w:val="12"/>
                <w:bdr w:val="none" w:color="auto" w:sz="0" w:space="0"/>
              </w:rPr>
              <w:t>江西应用科技学院电子信息产业学院</w:t>
            </w:r>
          </w:p>
          <w:p w14:paraId="046135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0" w:lineRule="atLeast"/>
              <w:ind w:left="0" w:right="0" w:firstLine="0"/>
              <w:jc w:val="center"/>
            </w:pPr>
            <w:r>
              <w:rPr>
                <w:sz w:val="9"/>
                <w:szCs w:val="9"/>
                <w:bdr w:val="none" w:color="auto" w:sz="0" w:space="0"/>
              </w:rPr>
              <w:t>（部分培养时段在龙南）</w:t>
            </w:r>
          </w:p>
        </w:tc>
      </w:tr>
      <w:tr w14:paraId="3272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E8DA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16366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489E1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机械类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4C288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080208</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00450C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汽车服务工程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3EF6C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1439D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4FF6E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430C1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22</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1BA7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50FF0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2A902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06F53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03EC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81B1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39AD8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50532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自动化类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795C5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080803</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17633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机器人工程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2D847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754474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5E5DF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5E66A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39</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5369C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24896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08E9E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03A92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56F3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3C0AC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487AD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66168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计算机类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4E981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080905</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403EE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物联网工程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358A2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4AF2C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7F123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4D732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29</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616F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49DD1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0F069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4C702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334C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00AC9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6</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31C5B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7AE8A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计算机类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7F5931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080902</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6ECAB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软件工程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57224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32F73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7F26E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260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21F19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191</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AF55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12B66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26</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6E383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69F31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4ED2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048EF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7B1006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2D2B2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计算机类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72412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080917</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7005E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区块链工程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6081B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3DE6B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37500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66B44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24DB4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5FF6B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6145D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5BE8C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48986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52BB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A39B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8</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43398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58DEB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计算机类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079B3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080907</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6C45E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智能科学与技术</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52944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7A8B9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4A401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3FF1E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67</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6E3D4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77F5B3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01DDA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219E7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130B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7888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4022DD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7CFC9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土木类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036EFF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081001</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558DC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土木工程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7E7A1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16AF9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192E1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85</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0F0DC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62</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0998A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20A61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32F790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420D4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309E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042C2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7D606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35408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水利类</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15225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081101</w:t>
            </w:r>
          </w:p>
        </w:tc>
        <w:tc>
          <w:tcPr>
            <w:tcW w:w="990" w:type="dxa"/>
            <w:tcBorders>
              <w:top w:val="nil"/>
              <w:left w:val="nil"/>
              <w:bottom w:val="single" w:color="000000" w:sz="4" w:space="0"/>
              <w:right w:val="single" w:color="000000" w:sz="4" w:space="0"/>
            </w:tcBorders>
            <w:shd w:val="clear"/>
            <w:noWrap/>
            <w:tcMar>
              <w:left w:w="70" w:type="dxa"/>
              <w:right w:w="70" w:type="dxa"/>
            </w:tcMar>
            <w:vAlign w:val="center"/>
          </w:tcPr>
          <w:p w14:paraId="1DE59C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水利水电工程</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47306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0564F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7EC34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248F7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100</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6CDCC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3D0BB8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3E69D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63CAD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1F7F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E1A7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11</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61B0C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0394B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材料类</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08FCF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080410</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09376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0"/>
                <w:szCs w:val="10"/>
                <w:bdr w:val="none" w:color="auto" w:sz="0" w:space="0"/>
              </w:rPr>
              <w:t>宝石及材料工艺学</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6864A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0C673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27300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1AD98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5959E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15</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6472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6D788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6BC68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0904F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047C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4D3D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00452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007A6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管理科学与工程类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705F3F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120105</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03510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工程造价</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5F423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46B15C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597FE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180D5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44</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3CB18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797B8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172F9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65C0C8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18F7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55912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5BBA32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5A941E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电子商务类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2B0C30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120801</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23412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电子商务</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7A1FA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74B72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23FCC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17A44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44</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6B5F7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35431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7</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48FFAA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028E7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0" w:lineRule="atLeast"/>
              <w:ind w:left="0" w:right="0" w:firstLine="0"/>
              <w:jc w:val="center"/>
            </w:pPr>
            <w:r>
              <w:rPr>
                <w:sz w:val="12"/>
                <w:szCs w:val="12"/>
                <w:bdr w:val="none" w:color="auto" w:sz="0" w:space="0"/>
              </w:rPr>
              <w:t>江西应用科技学院电子信息产业学院</w:t>
            </w:r>
          </w:p>
          <w:p w14:paraId="69D30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0" w:lineRule="atLeast"/>
              <w:ind w:left="0" w:right="0" w:firstLine="0"/>
              <w:jc w:val="center"/>
            </w:pPr>
            <w:r>
              <w:rPr>
                <w:sz w:val="9"/>
                <w:szCs w:val="9"/>
                <w:bdr w:val="none" w:color="auto" w:sz="0" w:space="0"/>
              </w:rPr>
              <w:t>（部分培养时段在龙南）</w:t>
            </w:r>
          </w:p>
        </w:tc>
      </w:tr>
      <w:tr w14:paraId="22BA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78EC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14</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1A600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7F76E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物流管理与工程类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24579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120601</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465FF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物流管理</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6B861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0EBFC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597F3E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46</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68C58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29</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00C97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465A1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6355F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677A3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5018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15799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15</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3C58E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noWrap/>
            <w:tcMar>
              <w:left w:w="70" w:type="dxa"/>
              <w:right w:w="70" w:type="dxa"/>
            </w:tcMar>
            <w:vAlign w:val="center"/>
          </w:tcPr>
          <w:p w14:paraId="5D3C8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工商管理类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628E8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120204</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3D488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财务管理</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0B74B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7DB9A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2818A8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32A5F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67</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058EA1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74B35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0D190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636AA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2CF3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1B09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16</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38562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1FAE7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工商管理类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395D1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120203</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19EB3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会计学</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04368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3077D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77159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110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0FA2E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84</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6F148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24B37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11</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4162A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30B59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0B56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54C6C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17</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776D9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noWrap/>
            <w:tcMar>
              <w:left w:w="70" w:type="dxa"/>
              <w:right w:w="70" w:type="dxa"/>
            </w:tcMar>
            <w:vAlign w:val="center"/>
          </w:tcPr>
          <w:p w14:paraId="177AF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工商管理类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3B5CB9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120202</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38BF7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市场营销</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50180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2D8A7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06E0E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39A05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33</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680F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74922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3CAA9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78419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4E14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24FB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18</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75E28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管理学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5DE0D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旅游管理类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48FB5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120904</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0BFE1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旅游管理与服务教育</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465A1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6F6C2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6B8BB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535B1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24</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70F83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7D212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46B29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40AA0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001A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0B20D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19</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744CE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教育学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293C3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教育学类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2F171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040107</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7A133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小学教育</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13CA2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41DD0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25000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303E8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165</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4E765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135</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4520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635F2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17</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37E8C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8</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3D3FE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71F8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7438F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20</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5F453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教育学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2CAA9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教育学类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701AC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040106</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14165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学前教育</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4B3D5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331E9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25000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26AA2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110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26FE35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90</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088CA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282B1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450C3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0C8B4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567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6917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21</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12FBD0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教育学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646AC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体育学类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40839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040201</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0D87C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体育教育</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0AC9D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35BE6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28300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531A9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63A24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20</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54B25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0AB11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7850A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0C9A8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0216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4F25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22</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5EDA16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艺术学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3EE33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设计学类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3C613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130508</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75DB5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数字媒体艺术</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73DF28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1BBD5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25000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106D1B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016E23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33</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1AAFC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10</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0B232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4225C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10491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5AED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04887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23</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52C6A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艺术学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64176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戏剧与影视学类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76D22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130310</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6F5D9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动画</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4A1DC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7FD6C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25000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470C8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1A52C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29</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5A916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60270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4</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21F53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42730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r w14:paraId="3341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5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7B7CA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24</w:t>
            </w:r>
          </w:p>
        </w:tc>
        <w:tc>
          <w:tcPr>
            <w:tcW w:w="530" w:type="dxa"/>
            <w:tcBorders>
              <w:top w:val="nil"/>
              <w:left w:val="nil"/>
              <w:bottom w:val="single" w:color="000000" w:sz="4" w:space="0"/>
              <w:right w:val="single" w:color="000000" w:sz="4" w:space="0"/>
            </w:tcBorders>
            <w:shd w:val="clear"/>
            <w:tcMar>
              <w:left w:w="70" w:type="dxa"/>
              <w:right w:w="70" w:type="dxa"/>
            </w:tcMar>
            <w:vAlign w:val="center"/>
          </w:tcPr>
          <w:p w14:paraId="5B6CE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艺术学</w:t>
            </w:r>
          </w:p>
        </w:tc>
        <w:tc>
          <w:tcPr>
            <w:tcW w:w="780" w:type="dxa"/>
            <w:tcBorders>
              <w:top w:val="nil"/>
              <w:left w:val="nil"/>
              <w:bottom w:val="single" w:color="000000" w:sz="4" w:space="0"/>
              <w:right w:val="single" w:color="000000" w:sz="4" w:space="0"/>
            </w:tcBorders>
            <w:shd w:val="clear"/>
            <w:tcMar>
              <w:left w:w="70" w:type="dxa"/>
              <w:right w:w="70" w:type="dxa"/>
            </w:tcMar>
            <w:vAlign w:val="center"/>
          </w:tcPr>
          <w:p w14:paraId="27648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音乐类</w:t>
            </w:r>
          </w:p>
        </w:tc>
        <w:tc>
          <w:tcPr>
            <w:tcW w:w="520" w:type="dxa"/>
            <w:tcBorders>
              <w:top w:val="nil"/>
              <w:left w:val="nil"/>
              <w:bottom w:val="single" w:color="000000" w:sz="4" w:space="0"/>
              <w:right w:val="single" w:color="000000" w:sz="4" w:space="0"/>
            </w:tcBorders>
            <w:shd w:val="clear"/>
            <w:tcMar>
              <w:left w:w="70" w:type="dxa"/>
              <w:right w:w="70" w:type="dxa"/>
            </w:tcMar>
            <w:vAlign w:val="center"/>
          </w:tcPr>
          <w:p w14:paraId="13EC4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130202</w:t>
            </w:r>
          </w:p>
        </w:tc>
        <w:tc>
          <w:tcPr>
            <w:tcW w:w="990" w:type="dxa"/>
            <w:tcBorders>
              <w:top w:val="nil"/>
              <w:left w:val="nil"/>
              <w:bottom w:val="single" w:color="000000" w:sz="4" w:space="0"/>
              <w:right w:val="single" w:color="000000" w:sz="4" w:space="0"/>
            </w:tcBorders>
            <w:shd w:val="clear"/>
            <w:tcMar>
              <w:left w:w="70" w:type="dxa"/>
              <w:right w:w="70" w:type="dxa"/>
            </w:tcMar>
            <w:vAlign w:val="center"/>
          </w:tcPr>
          <w:p w14:paraId="0D220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音乐学</w:t>
            </w:r>
          </w:p>
        </w:tc>
        <w:tc>
          <w:tcPr>
            <w:tcW w:w="420" w:type="dxa"/>
            <w:tcBorders>
              <w:top w:val="nil"/>
              <w:left w:val="nil"/>
              <w:bottom w:val="single" w:color="000000" w:sz="4" w:space="0"/>
              <w:right w:val="single" w:color="000000" w:sz="4" w:space="0"/>
            </w:tcBorders>
            <w:shd w:val="clear"/>
            <w:noWrap/>
            <w:tcMar>
              <w:left w:w="70" w:type="dxa"/>
              <w:right w:w="70" w:type="dxa"/>
            </w:tcMar>
            <w:vAlign w:val="center"/>
          </w:tcPr>
          <w:p w14:paraId="49CE2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两年</w:t>
            </w:r>
          </w:p>
        </w:tc>
        <w:tc>
          <w:tcPr>
            <w:tcW w:w="520" w:type="dxa"/>
            <w:tcBorders>
              <w:top w:val="nil"/>
              <w:left w:val="nil"/>
              <w:bottom w:val="single" w:color="000000" w:sz="4" w:space="0"/>
              <w:right w:val="single" w:color="000000" w:sz="4" w:space="0"/>
            </w:tcBorders>
            <w:shd w:val="clear"/>
            <w:noWrap/>
            <w:tcMar>
              <w:left w:w="70" w:type="dxa"/>
              <w:right w:w="70" w:type="dxa"/>
            </w:tcMar>
            <w:vAlign w:val="center"/>
          </w:tcPr>
          <w:p w14:paraId="5D36C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25000</w:t>
            </w:r>
          </w:p>
        </w:tc>
        <w:tc>
          <w:tcPr>
            <w:tcW w:w="350" w:type="dxa"/>
            <w:tcBorders>
              <w:top w:val="nil"/>
              <w:left w:val="nil"/>
              <w:bottom w:val="single" w:color="000000" w:sz="4" w:space="0"/>
              <w:right w:val="single" w:color="000000" w:sz="4" w:space="0"/>
            </w:tcBorders>
            <w:shd w:val="clear"/>
            <w:noWrap/>
            <w:tcMar>
              <w:left w:w="70" w:type="dxa"/>
              <w:right w:w="70" w:type="dxa"/>
            </w:tcMar>
            <w:vAlign w:val="center"/>
          </w:tcPr>
          <w:p w14:paraId="5C38F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120</w:t>
            </w:r>
          </w:p>
        </w:tc>
        <w:tc>
          <w:tcPr>
            <w:tcW w:w="490" w:type="dxa"/>
            <w:tcBorders>
              <w:top w:val="nil"/>
              <w:left w:val="nil"/>
              <w:bottom w:val="single" w:color="000000" w:sz="4" w:space="0"/>
              <w:right w:val="single" w:color="000000" w:sz="4" w:space="0"/>
            </w:tcBorders>
            <w:shd w:val="clear"/>
            <w:noWrap/>
            <w:tcMar>
              <w:left w:w="70" w:type="dxa"/>
              <w:right w:w="70" w:type="dxa"/>
            </w:tcMar>
            <w:vAlign w:val="center"/>
          </w:tcPr>
          <w:p w14:paraId="2C0C2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97</w:t>
            </w:r>
          </w:p>
        </w:tc>
        <w:tc>
          <w:tcPr>
            <w:tcW w:w="470" w:type="dxa"/>
            <w:tcBorders>
              <w:top w:val="nil"/>
              <w:left w:val="nil"/>
              <w:bottom w:val="single" w:color="000000" w:sz="4" w:space="0"/>
              <w:right w:val="single" w:color="000000" w:sz="4" w:space="0"/>
            </w:tcBorders>
            <w:shd w:val="clear"/>
            <w:noWrap/>
            <w:tcMar>
              <w:left w:w="70" w:type="dxa"/>
              <w:right w:w="70" w:type="dxa"/>
            </w:tcMar>
            <w:vAlign w:val="center"/>
          </w:tcPr>
          <w:p w14:paraId="48D3B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5</w:t>
            </w:r>
          </w:p>
        </w:tc>
        <w:tc>
          <w:tcPr>
            <w:tcW w:w="440" w:type="dxa"/>
            <w:tcBorders>
              <w:top w:val="nil"/>
              <w:left w:val="nil"/>
              <w:bottom w:val="single" w:color="000000" w:sz="4" w:space="0"/>
              <w:right w:val="single" w:color="000000" w:sz="4" w:space="0"/>
            </w:tcBorders>
            <w:shd w:val="clear"/>
            <w:noWrap/>
            <w:tcMar>
              <w:left w:w="70" w:type="dxa"/>
              <w:right w:w="70" w:type="dxa"/>
            </w:tcMar>
            <w:vAlign w:val="center"/>
          </w:tcPr>
          <w:p w14:paraId="35AB6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12</w:t>
            </w:r>
          </w:p>
        </w:tc>
        <w:tc>
          <w:tcPr>
            <w:tcW w:w="450" w:type="dxa"/>
            <w:tcBorders>
              <w:top w:val="nil"/>
              <w:left w:val="nil"/>
              <w:bottom w:val="single" w:color="000000" w:sz="4" w:space="0"/>
              <w:right w:val="single" w:color="000000" w:sz="4" w:space="0"/>
            </w:tcBorders>
            <w:shd w:val="clear"/>
            <w:noWrap/>
            <w:tcMar>
              <w:left w:w="70" w:type="dxa"/>
              <w:right w:w="70" w:type="dxa"/>
            </w:tcMar>
            <w:vAlign w:val="center"/>
          </w:tcPr>
          <w:p w14:paraId="3A6743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6</w:t>
            </w:r>
          </w:p>
        </w:tc>
        <w:tc>
          <w:tcPr>
            <w:tcW w:w="1280" w:type="dxa"/>
            <w:tcBorders>
              <w:top w:val="nil"/>
              <w:left w:val="nil"/>
              <w:bottom w:val="single" w:color="000000" w:sz="4" w:space="0"/>
              <w:right w:val="single" w:color="000000" w:sz="4" w:space="0"/>
            </w:tcBorders>
            <w:shd w:val="clear"/>
            <w:noWrap/>
            <w:tcMar>
              <w:left w:w="70" w:type="dxa"/>
              <w:right w:w="70" w:type="dxa"/>
            </w:tcMar>
            <w:vAlign w:val="center"/>
          </w:tcPr>
          <w:p w14:paraId="1BF4B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textAlignment w:val="center"/>
            </w:pPr>
            <w:r>
              <w:rPr>
                <w:sz w:val="12"/>
                <w:szCs w:val="12"/>
                <w:bdr w:val="none" w:color="auto" w:sz="0" w:space="0"/>
              </w:rPr>
              <w:t>江西应用科技学院</w:t>
            </w:r>
          </w:p>
        </w:tc>
      </w:tr>
    </w:tbl>
    <w:p w14:paraId="0ADB0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四、报名及缴费</w:t>
      </w:r>
    </w:p>
    <w:p w14:paraId="69A25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一）网上报名：所有参加专升本的考生（含免试生）均须在规定的时间内登录江西省教育考试院官网（http://www.jxeea.cn/）“专升本管理系统”，按要求上传个人照片并填写个人基本信息、就读（毕业）院校、就读专业（专业名称、代码、专业类），以及是否为获奖学生（含高水平运动员）、脱贫家庭（原建档立卡贫困家庭）学生、退役大学生士兵、世界技能大赛获奖学生等相关信息。</w:t>
      </w:r>
    </w:p>
    <w:p w14:paraId="1FB08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（二）网上缴费：所有通过报名资格审核的考生须在 2025年2月24 日 9:00—27日17:00期间，登录江西省教育考试院网（网址：www.jxeea.cn，下同）“专升本管理系统”，在 9 个招考类别中选报其中1个大类参加该大类专业基础及技能知识课考试，并完成志愿填报和缴费（130 元/人），逾期未完成填报志愿和缴费的视为自动放弃报考资格。网上缴费成功后不予退费。</w:t>
      </w:r>
    </w:p>
    <w:p w14:paraId="022A9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五、资格审查</w:t>
      </w:r>
    </w:p>
    <w:p w14:paraId="6C115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资格审查贯穿考试录取全过程。</w:t>
      </w:r>
    </w:p>
    <w:p w14:paraId="13A0E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（一）考生的报名资格由考生就读（毕业）院校负责审核。所在院校依据规定的招生对象和报考条件对考生资格及其填报的基本信息和报名照片进行审核。对初审不合格的考生要标注原因，并及时告知考生本人。</w:t>
      </w:r>
    </w:p>
    <w:p w14:paraId="6A3BF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二）本省院校退役大学生士兵的报名资格由就读（毕业）院校初审，外省院校退役大学生士兵的报名资格由省教育厅初审。省教育厅将退役大学生士兵考生信息汇总，报送省退役军人事务厅进行退役士兵身份核定。</w:t>
      </w:r>
    </w:p>
    <w:p w14:paraId="592D9B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（三）获奖学生（含高水平运动员）资格由考生就读（毕业）院校负责审核，发奖单位或省级选送单位复核；脱贫家庭（原建档立卡贫困家庭）由省教育厅负责审核。</w:t>
      </w:r>
    </w:p>
    <w:p w14:paraId="72DAE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（四）省教育厅负责对高校最终拟录取考生名单进行前置学历资格复查。对不符合录取条件的考生，将取消录取资格。</w:t>
      </w:r>
    </w:p>
    <w:p w14:paraId="19240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六、志愿填报</w:t>
      </w:r>
    </w:p>
    <w:p w14:paraId="55C556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（一）志愿设置。2025 年我省普通高校专升本志愿分为“免试计划”“大国工匠培养强基工程专项计划”“其他专项计划”和“普通计划”4 个录取批次进行设置。</w:t>
      </w:r>
    </w:p>
    <w:p w14:paraId="27E7A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1.“免试计划”批次设置 2 个梯度院校志愿及 1 个征集院校志愿，每个院校志愿后设置 6 个专业志愿。限已申报退役大学生士兵资格的考生。</w:t>
      </w:r>
    </w:p>
    <w:p w14:paraId="2F722E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2.“大国工匠培养强基工程专项计划”批次设置 1 个院校志愿，每个院校志愿后设置 2 个专业志愿。限已通过大国工匠培养强基工程专项计划资格审核的考生填报。</w:t>
      </w:r>
      <w:r>
        <w:rPr>
          <w:rFonts w:hint="eastAsia" w:ascii="仿宋" w:hAnsi="仿宋" w:eastAsia="仿宋" w:cs="仿宋"/>
          <w:i w:val="0"/>
          <w:iCs w:val="0"/>
          <w:caps w:val="0"/>
          <w:color w:val="FFFFFF"/>
          <w:spacing w:val="0"/>
          <w:sz w:val="19"/>
          <w:szCs w:val="19"/>
          <w:bdr w:val="none" w:color="auto" w:sz="0" w:space="0"/>
        </w:rPr>
        <w:t>—</w:t>
      </w:r>
    </w:p>
    <w:p w14:paraId="1B3A3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3.“其他专项计划”批次设置 20 个平行志愿和 10 个征集平行志愿。限已通过脱贫家庭（原建档立卡贫困家庭）学生或获奖学生（含高水平运动员）资格审核的考生填报。</w:t>
      </w:r>
    </w:p>
    <w:p w14:paraId="7EFD4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4.“普通计划”批次设置 40 个平行志愿和 20 个征集平行志愿。</w:t>
      </w:r>
    </w:p>
    <w:p w14:paraId="0ABD7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Style w:val="6"/>
          <w:rFonts w:hint="eastAsia" w:ascii="仿宋" w:hAnsi="仿宋" w:eastAsia="仿宋" w:cs="仿宋"/>
          <w:i w:val="0"/>
          <w:iCs w:val="0"/>
          <w:caps w:val="0"/>
          <w:color w:val="666666"/>
          <w:spacing w:val="0"/>
          <w:sz w:val="19"/>
          <w:szCs w:val="19"/>
          <w:bdr w:val="none" w:color="auto" w:sz="0" w:space="0"/>
        </w:rPr>
        <w:t>平行志愿均采用“院校+专业”模式，即 1个院校的1个专业为1个志愿。</w:t>
      </w:r>
    </w:p>
    <w:p w14:paraId="2CDFC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（二）志愿填报。所有考生须于规定时间内自行登录江西省教育考试院网“专升本管理系统”，根据《实施方案》划分的 9个招考类别和学校专升本招生章程（简章）中明确的招生计划、专业及有关要求，对照《江西省2025年普通高校专升本对应专业（类）指导目录》（以下简称《专业指导目录》）选择填报志愿（考生志愿填报时，系统将自动提示考生可对应选择填报的志愿）。</w:t>
      </w:r>
    </w:p>
    <w:p w14:paraId="408AA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符合多个录取批次的考生应同时填报符合资格且通过资格审核的各批次志愿。填报志愿期间，考生可以对填报志愿修改一次，逾期后不得更改、补填。已被免试录取的考生不再具有参加统一考试及其他批次录取资格。</w:t>
      </w:r>
    </w:p>
    <w:p w14:paraId="5E18E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（三）缴费。填报志愿期间须完成缴费，网上缴费时间为每日9:00—21:00。</w:t>
      </w:r>
    </w:p>
    <w:p w14:paraId="7AF28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30" w:lineRule="atLeast"/>
        <w:ind w:left="0" w:right="0" w:firstLine="370"/>
      </w:pPr>
      <w:r>
        <w:rPr>
          <w:rFonts w:hint="eastAsia" w:ascii="仿宋" w:hAnsi="仿宋" w:eastAsia="仿宋" w:cs="仿宋"/>
          <w:i w:val="0"/>
          <w:iCs w:val="0"/>
          <w:caps w:val="0"/>
          <w:color w:val="666666"/>
          <w:spacing w:val="0"/>
          <w:sz w:val="19"/>
          <w:szCs w:val="19"/>
          <w:bdr w:val="none" w:color="auto" w:sz="0" w:space="0"/>
        </w:rPr>
        <w:t>（四）缺额征集志愿安排。各批次院校未完成的缺额计划将进行网上征集志愿。其中，“免试计划”缺额征集志愿网上填报时间为 3 月 15 日 9:00—17:00，“大国工匠培养强基工程专项计划”“其他专项计划”与“普通计划”缺额征集志愿网上填报时间另行通知。具体缺额院校、专业、计划情况须根据实际录取统计数据确定，届时请考生关注并依据省教育考试院网上发布的缺额征集信息及说明进行填报。</w:t>
      </w:r>
    </w:p>
    <w:p w14:paraId="288D7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七、考试</w:t>
      </w:r>
    </w:p>
    <w:p w14:paraId="4DA0C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（一）考试时间</w:t>
      </w:r>
    </w:p>
    <w:p w14:paraId="1E83F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2025年3月23日。公共基础课考试时间为上午9:00—11:30，专业基础及技能知识课考试时间为下午15:00—17:00。</w:t>
      </w:r>
    </w:p>
    <w:p w14:paraId="2BF67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（二）考试科目</w:t>
      </w:r>
    </w:p>
    <w:p w14:paraId="3DFFC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考试科目包括公共基础课和专业基础及技能知识课。公共基础课不分学科专业，采用政治+英语+信息技术三门课程的综合卷，分值300分。专业基础及技能知识课按专业门类分为九类，各设置一门考试科目，各考试科目试卷分值 150分。</w:t>
      </w:r>
    </w:p>
    <w:p w14:paraId="3B73A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（三）考试地点</w:t>
      </w:r>
    </w:p>
    <w:p w14:paraId="75508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考试地点由各设区市考试机构统一安排在标准化考点。</w:t>
      </w:r>
    </w:p>
    <w:p w14:paraId="7A477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（四）命题和评卷</w:t>
      </w:r>
    </w:p>
    <w:p w14:paraId="3500B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全省统一组织命题、制卷、评卷。</w:t>
      </w:r>
    </w:p>
    <w:p w14:paraId="492DA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190"/>
        <w:jc w:val="both"/>
      </w:pPr>
      <w:r>
        <w:rPr>
          <w:rStyle w:val="6"/>
          <w:rFonts w:hint="eastAsia" w:ascii="仿宋" w:hAnsi="仿宋" w:eastAsia="仿宋" w:cs="仿宋"/>
          <w:i w:val="0"/>
          <w:iCs w:val="0"/>
          <w:caps w:val="0"/>
          <w:color w:val="666666"/>
          <w:spacing w:val="0"/>
          <w:sz w:val="19"/>
          <w:szCs w:val="19"/>
          <w:bdr w:val="none" w:color="auto" w:sz="0" w:space="0"/>
        </w:rPr>
        <w:t>八、招生录取</w:t>
      </w:r>
    </w:p>
    <w:p w14:paraId="15AC75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（一）按考试九大类划定全省最低录取控制分数线。</w:t>
      </w:r>
    </w:p>
    <w:p w14:paraId="39D12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（二）按考生公共基础课和专业基础及技能知识课的总成绩从高到低排序投档，总分相同时专业基础及技能知识课优先，其次按政治、英语、信息技术课程顺序，单科分数高低排序录取。</w:t>
      </w:r>
    </w:p>
    <w:p w14:paraId="3E589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（三）未被录取的考生，在规定的时间内按照省教育考试院公布的征集志愿计划，网上进行征集志愿填报，征集志愿填报专业必须在《指导目录》规定的对应专业范围内进行。</w:t>
      </w:r>
    </w:p>
    <w:p w14:paraId="657DE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（四）专项计划学生录取实行计划单列政策。退役大学生士兵录取工作按照《江西省退役大学生士兵专升本免试招生工作要求》要求执行。</w:t>
      </w:r>
    </w:p>
    <w:p w14:paraId="4846E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（五）考生志愿填报是一种电子契约，凡按志愿投档且符合录取条件的考生，不得要求高校退档，高校也不得以考生自愿放弃为由退录。</w:t>
      </w:r>
    </w:p>
    <w:p w14:paraId="5DF4E6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六）录取通知书由学校印制，学校根据录取新生名册发放录取通知书，由校长签发，加盖本校校章，连同入学报到须知、资助政策办法等相关材料一并直接寄送被录取考生。录取通知书寄递工作按照《教育部办公厅国家邮政局办公室关于进一步做好 2020 年高校录取通知书寄递工作的通知》（教学厅函〔2020〕23 号）执行。</w:t>
      </w:r>
    </w:p>
    <w:p w14:paraId="1C6C6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九、收费标准及贫困资助</w:t>
      </w:r>
    </w:p>
    <w:p w14:paraId="789CD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学校严格遵循上级主管部门的收费管理规定，专升本录取的学生，收费标准按照普通本科生学费标准进行收取，享受普通本科生同等待遇。学校设立了各级各类奖学金，用于激励学生刻苦努力学习。同时，针对缴清学杂费专升本学生，本校专升本录取学生可资助首年一次性6000元/人奖学金，其他高职专科院校专升本录取学生可资助首年一次性5000元/人奖学金。</w:t>
      </w:r>
    </w:p>
    <w:p w14:paraId="597AE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十、学籍管理</w:t>
      </w:r>
    </w:p>
    <w:p w14:paraId="56A03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333333"/>
          <w:spacing w:val="0"/>
          <w:sz w:val="19"/>
          <w:szCs w:val="19"/>
          <w:bdr w:val="none" w:color="auto" w:sz="0" w:space="0"/>
        </w:rPr>
        <w:t>（一） 报到注册：按照国家招生规定，经我校正式录取的新生，应凭录取通知书，按学校有关要求和规定的期限来校报到，未经学校同意逾期两周未报到者视为放弃入学资格。</w:t>
      </w:r>
    </w:p>
    <w:p w14:paraId="4403A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333333"/>
          <w:spacing w:val="0"/>
          <w:sz w:val="19"/>
          <w:szCs w:val="19"/>
          <w:bdr w:val="none" w:color="auto" w:sz="0" w:space="0"/>
        </w:rPr>
        <w:t>（二）入学资格复查：新生入学后，我校将依据有关文件对新生进行入学资格复查，审查发现新生的录取通知书、考生信息等证明材料，与本人实际情况不符，或者有其他违反国家招生考试规定情形的，取消入学资格。</w:t>
      </w:r>
    </w:p>
    <w:p w14:paraId="0FBBF6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333333"/>
          <w:spacing w:val="0"/>
          <w:sz w:val="19"/>
          <w:szCs w:val="19"/>
          <w:bdr w:val="none" w:color="auto" w:sz="0" w:space="0"/>
        </w:rPr>
        <w:t>（三）专升本学生为全日制普通高等学校学生。升入学校2023级本科专业学习，学生入学后不允许转学转专业，其他日常管理、毕业待遇等与我校相同年级、专业的学生相同。符合毕业条件的学生颁发普通高校本科毕业证书，毕业证书表述为“在本校××专业专科起点本科学习”，学习起止时间按进入本科阶段学习和颁发学历证书实际时间填写，符合学位授予条件的授予学士学位。</w:t>
      </w:r>
    </w:p>
    <w:p w14:paraId="3ED28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Style w:val="6"/>
          <w:rFonts w:hint="eastAsia" w:ascii="仿宋" w:hAnsi="仿宋" w:eastAsia="仿宋" w:cs="仿宋"/>
          <w:i w:val="0"/>
          <w:iCs w:val="0"/>
          <w:caps w:val="0"/>
          <w:color w:val="666666"/>
          <w:spacing w:val="0"/>
          <w:sz w:val="19"/>
          <w:szCs w:val="19"/>
          <w:bdr w:val="none" w:color="auto" w:sz="0" w:space="0"/>
        </w:rPr>
        <w:t>十一、招生咨询、信息发布及监督</w:t>
      </w:r>
    </w:p>
    <w:p w14:paraId="6F565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一）在2025年专升本招生咨询中，本校咨询人员的意见、建议仅作为考生填报志愿的参考，不属学校录取承诺。学校招生相关信息通过江西应用科技学院招生信息网、江西应用科技学院招生就业处微信公众号信息平台统一发布。</w:t>
      </w:r>
    </w:p>
    <w:p w14:paraId="4E289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学校网址：</w:t>
      </w:r>
      <w:r>
        <w:rPr>
          <w:rFonts w:hint="eastAsia" w:ascii="微软雅黑" w:hAnsi="微软雅黑" w:eastAsia="微软雅黑" w:cs="微软雅黑"/>
          <w:i w:val="0"/>
          <w:iCs w:val="0"/>
          <w:caps w:val="0"/>
          <w:color w:val="333333"/>
          <w:spacing w:val="0"/>
          <w:sz w:val="14"/>
          <w:szCs w:val="14"/>
          <w:u w:val="none"/>
          <w:bdr w:val="none" w:color="auto" w:sz="0" w:space="0"/>
        </w:rPr>
        <w:fldChar w:fldCharType="begin"/>
      </w:r>
      <w:r>
        <w:rPr>
          <w:rFonts w:hint="eastAsia" w:ascii="微软雅黑" w:hAnsi="微软雅黑" w:eastAsia="微软雅黑" w:cs="微软雅黑"/>
          <w:i w:val="0"/>
          <w:iCs w:val="0"/>
          <w:caps w:val="0"/>
          <w:color w:val="333333"/>
          <w:spacing w:val="0"/>
          <w:sz w:val="14"/>
          <w:szCs w:val="14"/>
          <w:u w:val="none"/>
          <w:bdr w:val="none" w:color="auto" w:sz="0" w:space="0"/>
        </w:rPr>
        <w:instrText xml:space="preserve"> HYPERLINK "http://www.jxuas.com/" </w:instrText>
      </w:r>
      <w:r>
        <w:rPr>
          <w:rFonts w:hint="eastAsia" w:ascii="微软雅黑" w:hAnsi="微软雅黑" w:eastAsia="微软雅黑" w:cs="微软雅黑"/>
          <w:i w:val="0"/>
          <w:iCs w:val="0"/>
          <w:caps w:val="0"/>
          <w:color w:val="333333"/>
          <w:spacing w:val="0"/>
          <w:sz w:val="14"/>
          <w:szCs w:val="14"/>
          <w:u w:val="none"/>
          <w:bdr w:val="none" w:color="auto" w:sz="0" w:space="0"/>
        </w:rPr>
        <w:fldChar w:fldCharType="separate"/>
      </w:r>
      <w:r>
        <w:rPr>
          <w:rStyle w:val="7"/>
          <w:rFonts w:hint="eastAsia" w:ascii="仿宋" w:hAnsi="仿宋" w:eastAsia="仿宋" w:cs="仿宋"/>
          <w:i w:val="0"/>
          <w:iCs w:val="0"/>
          <w:caps w:val="0"/>
          <w:color w:val="333333"/>
          <w:spacing w:val="0"/>
          <w:sz w:val="19"/>
          <w:szCs w:val="19"/>
          <w:u w:val="single"/>
          <w:bdr w:val="none" w:color="auto" w:sz="0" w:space="0"/>
        </w:rPr>
        <w:t>http://www.jxuas.com/</w:t>
      </w:r>
      <w:r>
        <w:rPr>
          <w:rFonts w:hint="eastAsia" w:ascii="微软雅黑" w:hAnsi="微软雅黑" w:eastAsia="微软雅黑" w:cs="微软雅黑"/>
          <w:i w:val="0"/>
          <w:iCs w:val="0"/>
          <w:caps w:val="0"/>
          <w:color w:val="333333"/>
          <w:spacing w:val="0"/>
          <w:sz w:val="14"/>
          <w:szCs w:val="14"/>
          <w:u w:val="none"/>
          <w:bdr w:val="none" w:color="auto" w:sz="0" w:space="0"/>
        </w:rPr>
        <w:fldChar w:fldCharType="end"/>
      </w:r>
    </w:p>
    <w:p w14:paraId="561D7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招生信息网：</w:t>
      </w:r>
      <w:r>
        <w:rPr>
          <w:rFonts w:hint="eastAsia" w:ascii="微软雅黑" w:hAnsi="微软雅黑" w:eastAsia="微软雅黑" w:cs="微软雅黑"/>
          <w:i w:val="0"/>
          <w:iCs w:val="0"/>
          <w:caps w:val="0"/>
          <w:color w:val="333333"/>
          <w:spacing w:val="0"/>
          <w:sz w:val="14"/>
          <w:szCs w:val="14"/>
          <w:u w:val="none"/>
          <w:bdr w:val="none" w:color="auto" w:sz="0" w:space="0"/>
        </w:rPr>
        <w:fldChar w:fldCharType="begin"/>
      </w:r>
      <w:r>
        <w:rPr>
          <w:rFonts w:hint="eastAsia" w:ascii="微软雅黑" w:hAnsi="微软雅黑" w:eastAsia="微软雅黑" w:cs="微软雅黑"/>
          <w:i w:val="0"/>
          <w:iCs w:val="0"/>
          <w:caps w:val="0"/>
          <w:color w:val="333333"/>
          <w:spacing w:val="0"/>
          <w:sz w:val="14"/>
          <w:szCs w:val="14"/>
          <w:u w:val="none"/>
          <w:bdr w:val="none" w:color="auto" w:sz="0" w:space="0"/>
        </w:rPr>
        <w:instrText xml:space="preserve"> HYPERLINK "http://www.jxuas.edu.cn/zhaosheng/" </w:instrText>
      </w:r>
      <w:r>
        <w:rPr>
          <w:rFonts w:hint="eastAsia" w:ascii="微软雅黑" w:hAnsi="微软雅黑" w:eastAsia="微软雅黑" w:cs="微软雅黑"/>
          <w:i w:val="0"/>
          <w:iCs w:val="0"/>
          <w:caps w:val="0"/>
          <w:color w:val="333333"/>
          <w:spacing w:val="0"/>
          <w:sz w:val="14"/>
          <w:szCs w:val="14"/>
          <w:u w:val="none"/>
          <w:bdr w:val="none" w:color="auto" w:sz="0" w:space="0"/>
        </w:rPr>
        <w:fldChar w:fldCharType="separate"/>
      </w:r>
      <w:r>
        <w:rPr>
          <w:rStyle w:val="7"/>
          <w:rFonts w:hint="eastAsia" w:ascii="仿宋" w:hAnsi="仿宋" w:eastAsia="仿宋" w:cs="仿宋"/>
          <w:i w:val="0"/>
          <w:iCs w:val="0"/>
          <w:caps w:val="0"/>
          <w:color w:val="000000"/>
          <w:spacing w:val="0"/>
          <w:sz w:val="19"/>
          <w:szCs w:val="19"/>
          <w:u w:val="single"/>
          <w:bdr w:val="none" w:color="auto" w:sz="0" w:space="0"/>
        </w:rPr>
        <w:t>http://www.jxuas.edu.cn/zhaosheng/</w:t>
      </w:r>
      <w:r>
        <w:rPr>
          <w:rFonts w:hint="eastAsia" w:ascii="微软雅黑" w:hAnsi="微软雅黑" w:eastAsia="微软雅黑" w:cs="微软雅黑"/>
          <w:i w:val="0"/>
          <w:iCs w:val="0"/>
          <w:caps w:val="0"/>
          <w:color w:val="333333"/>
          <w:spacing w:val="0"/>
          <w:sz w:val="14"/>
          <w:szCs w:val="14"/>
          <w:u w:val="none"/>
          <w:bdr w:val="none" w:color="auto" w:sz="0" w:space="0"/>
        </w:rPr>
        <w:fldChar w:fldCharType="end"/>
      </w:r>
    </w:p>
    <w:p w14:paraId="68A08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招生就业处官方微信公众号：jxykyzsb</w:t>
      </w:r>
    </w:p>
    <w:p w14:paraId="3EFA1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招生咨询电话：0791—83653777、83653888</w:t>
      </w:r>
    </w:p>
    <w:p w14:paraId="6C5E0A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教务处咨询电话：0791-83659829、83659395</w:t>
      </w:r>
    </w:p>
    <w:p w14:paraId="43030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学校地址：江西省南昌市新建区宏福大道2888号</w:t>
      </w:r>
    </w:p>
    <w:p w14:paraId="52581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邮政编码：330100</w:t>
      </w:r>
    </w:p>
    <w:p w14:paraId="41B94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（二）学校2025年专升本招生工作接受教育部、各省（区、市）招生主管部门、纪检部门、考生和社会各界的监督，学校纪检部门全程监督并设立监督电话、电子邮箱。</w:t>
      </w:r>
    </w:p>
    <w:p w14:paraId="04325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pPr>
      <w:r>
        <w:rPr>
          <w:rFonts w:hint="eastAsia" w:ascii="仿宋" w:hAnsi="仿宋" w:eastAsia="仿宋" w:cs="仿宋"/>
          <w:i w:val="0"/>
          <w:iCs w:val="0"/>
          <w:caps w:val="0"/>
          <w:color w:val="666666"/>
          <w:spacing w:val="0"/>
          <w:sz w:val="19"/>
          <w:szCs w:val="19"/>
          <w:bdr w:val="none" w:color="auto" w:sz="0" w:space="0"/>
        </w:rPr>
        <w:t>纪检督查办公室电话：0791-83659529</w:t>
      </w:r>
    </w:p>
    <w:p w14:paraId="322759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370"/>
        <w:jc w:val="both"/>
      </w:pPr>
      <w:r>
        <w:rPr>
          <w:rFonts w:hint="eastAsia" w:ascii="仿宋" w:hAnsi="仿宋" w:eastAsia="仿宋" w:cs="仿宋"/>
          <w:i w:val="0"/>
          <w:iCs w:val="0"/>
          <w:caps w:val="0"/>
          <w:color w:val="666666"/>
          <w:spacing w:val="0"/>
          <w:sz w:val="19"/>
          <w:szCs w:val="19"/>
          <w:bdr w:val="none" w:color="auto" w:sz="0" w:space="0"/>
        </w:rPr>
        <w:t>电子邮箱：</w:t>
      </w:r>
      <w:r>
        <w:rPr>
          <w:rFonts w:hint="eastAsia" w:ascii="微软雅黑" w:hAnsi="微软雅黑" w:eastAsia="微软雅黑" w:cs="微软雅黑"/>
          <w:i w:val="0"/>
          <w:iCs w:val="0"/>
          <w:caps w:val="0"/>
          <w:color w:val="333333"/>
          <w:spacing w:val="0"/>
          <w:sz w:val="14"/>
          <w:szCs w:val="14"/>
          <w:u w:val="none"/>
          <w:bdr w:val="none" w:color="auto" w:sz="0" w:space="0"/>
        </w:rPr>
        <w:fldChar w:fldCharType="begin"/>
      </w:r>
      <w:r>
        <w:rPr>
          <w:rFonts w:hint="eastAsia" w:ascii="微软雅黑" w:hAnsi="微软雅黑" w:eastAsia="微软雅黑" w:cs="微软雅黑"/>
          <w:i w:val="0"/>
          <w:iCs w:val="0"/>
          <w:caps w:val="0"/>
          <w:color w:val="333333"/>
          <w:spacing w:val="0"/>
          <w:sz w:val="14"/>
          <w:szCs w:val="14"/>
          <w:u w:val="none"/>
          <w:bdr w:val="none" w:color="auto" w:sz="0" w:space="0"/>
        </w:rPr>
        <w:instrText xml:space="preserve"> HYPERLINK "mailto:jxyksjxz@163.com" </w:instrText>
      </w:r>
      <w:r>
        <w:rPr>
          <w:rFonts w:hint="eastAsia" w:ascii="微软雅黑" w:hAnsi="微软雅黑" w:eastAsia="微软雅黑" w:cs="微软雅黑"/>
          <w:i w:val="0"/>
          <w:iCs w:val="0"/>
          <w:caps w:val="0"/>
          <w:color w:val="333333"/>
          <w:spacing w:val="0"/>
          <w:sz w:val="14"/>
          <w:szCs w:val="14"/>
          <w:u w:val="none"/>
          <w:bdr w:val="none" w:color="auto" w:sz="0" w:space="0"/>
        </w:rPr>
        <w:fldChar w:fldCharType="separate"/>
      </w:r>
      <w:r>
        <w:rPr>
          <w:rStyle w:val="7"/>
          <w:rFonts w:hint="eastAsia" w:ascii="仿宋" w:hAnsi="仿宋" w:eastAsia="仿宋" w:cs="仿宋"/>
          <w:i w:val="0"/>
          <w:iCs w:val="0"/>
          <w:caps w:val="0"/>
          <w:color w:val="333333"/>
          <w:spacing w:val="0"/>
          <w:sz w:val="19"/>
          <w:szCs w:val="19"/>
          <w:u w:val="single"/>
          <w:bdr w:val="none" w:color="auto" w:sz="0" w:space="0"/>
        </w:rPr>
        <w:t>jxyksjxz@163.com</w:t>
      </w:r>
      <w:r>
        <w:rPr>
          <w:rFonts w:hint="eastAsia" w:ascii="微软雅黑" w:hAnsi="微软雅黑" w:eastAsia="微软雅黑" w:cs="微软雅黑"/>
          <w:i w:val="0"/>
          <w:iCs w:val="0"/>
          <w:caps w:val="0"/>
          <w:color w:val="333333"/>
          <w:spacing w:val="0"/>
          <w:sz w:val="14"/>
          <w:szCs w:val="14"/>
          <w:u w:val="none"/>
          <w:bdr w:val="none" w:color="auto" w:sz="0" w:space="0"/>
        </w:rPr>
        <w:fldChar w:fldCharType="end"/>
      </w:r>
    </w:p>
    <w:p w14:paraId="568B7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00" w:lineRule="atLeast"/>
        <w:ind w:left="0" w:right="0"/>
      </w:pPr>
    </w:p>
    <w:p w14:paraId="0B88A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jc w:val="both"/>
      </w:pPr>
    </w:p>
    <w:p w14:paraId="35127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jc w:val="both"/>
      </w:pPr>
    </w:p>
    <w:p w14:paraId="4D6A7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1310"/>
        <w:jc w:val="center"/>
      </w:pPr>
      <w:r>
        <w:rPr>
          <w:rFonts w:hint="eastAsia" w:ascii="仿宋" w:hAnsi="仿宋" w:eastAsia="仿宋" w:cs="仿宋"/>
          <w:i w:val="0"/>
          <w:iCs w:val="0"/>
          <w:caps w:val="0"/>
          <w:color w:val="666666"/>
          <w:spacing w:val="0"/>
          <w:sz w:val="19"/>
          <w:szCs w:val="19"/>
          <w:bdr w:val="none" w:color="auto" w:sz="0" w:space="0"/>
        </w:rPr>
        <w:t>                           江西应用科技学院</w:t>
      </w:r>
    </w:p>
    <w:p w14:paraId="76527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0" w:beforeAutospacing="0" w:after="0" w:afterAutospacing="0" w:line="350" w:lineRule="atLeast"/>
        <w:ind w:left="0" w:right="0" w:firstLine="1310"/>
        <w:jc w:val="center"/>
      </w:pPr>
      <w:r>
        <w:rPr>
          <w:rFonts w:hint="eastAsia" w:ascii="仿宋" w:hAnsi="仿宋" w:eastAsia="仿宋" w:cs="仿宋"/>
          <w:i w:val="0"/>
          <w:iCs w:val="0"/>
          <w:caps w:val="0"/>
          <w:color w:val="666666"/>
          <w:spacing w:val="0"/>
          <w:sz w:val="19"/>
          <w:szCs w:val="19"/>
          <w:bdr w:val="none" w:color="auto" w:sz="0" w:space="0"/>
        </w:rPr>
        <w:t>                           2025年2月14日</w:t>
      </w:r>
    </w:p>
    <w:p w14:paraId="051532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1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2025-02-17T03:17:20Z</dcterms:created>
  <dc:creator>DELL</dc:creator>
  <cp:lastModifiedBy>长乐</cp:lastModifiedBy>
  <dcterms:modified xsi:type="dcterms:W3CDTF">2025-02-17T03:17:23Z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E49D2B2B93374599A5600AE6B0A1E7BF_12</vt:lpwstr>
  </property>
</Properties>
</file>